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81CCD" w14:textId="77777777" w:rsidR="00251C0E" w:rsidRDefault="00251C0E" w:rsidP="00251C0E">
      <w:pPr>
        <w:pStyle w:val="TitleNACSAbstract"/>
      </w:pPr>
      <w:r>
        <w:t>Example Abstract for the UK Catalysis Conference</w:t>
      </w:r>
    </w:p>
    <w:p w14:paraId="2C558452" w14:textId="77777777" w:rsidR="00251C0E" w:rsidRDefault="00251C0E" w:rsidP="00251C0E">
      <w:pPr>
        <w:pStyle w:val="TitleNACSAbstract"/>
      </w:pPr>
      <w:r>
        <w:t>(replace with your title)</w:t>
      </w:r>
    </w:p>
    <w:p w14:paraId="67C1F8D5" w14:textId="77777777" w:rsidR="00251C0E" w:rsidRDefault="00251C0E" w:rsidP="00251C0E">
      <w:pPr>
        <w:jc w:val="center"/>
        <w:rPr>
          <w:sz w:val="16"/>
        </w:rPr>
      </w:pPr>
    </w:p>
    <w:p w14:paraId="1773EDD1" w14:textId="77777777" w:rsidR="00251C0E" w:rsidRPr="002136A5" w:rsidRDefault="00251C0E" w:rsidP="00251C0E">
      <w:pPr>
        <w:pStyle w:val="AuthorsNACS"/>
        <w:rPr>
          <w:szCs w:val="16"/>
        </w:rPr>
      </w:pPr>
      <w:r>
        <w:rPr>
          <w:szCs w:val="16"/>
          <w:u w:val="single"/>
        </w:rPr>
        <w:t>Presenting D</w:t>
      </w:r>
      <w:r w:rsidRPr="002136A5">
        <w:rPr>
          <w:szCs w:val="16"/>
          <w:u w:val="single"/>
        </w:rPr>
        <w:t xml:space="preserve">. </w:t>
      </w:r>
      <w:r>
        <w:rPr>
          <w:szCs w:val="16"/>
          <w:u w:val="single"/>
        </w:rPr>
        <w:t>Author</w:t>
      </w:r>
      <w:r w:rsidRPr="002136A5">
        <w:rPr>
          <w:szCs w:val="16"/>
          <w:vertAlign w:val="superscript"/>
        </w:rPr>
        <w:t>1</w:t>
      </w:r>
      <w:r>
        <w:rPr>
          <w:szCs w:val="16"/>
          <w:vertAlign w:val="superscript"/>
        </w:rPr>
        <w:t>*</w:t>
      </w:r>
      <w:r w:rsidRPr="002136A5">
        <w:rPr>
          <w:szCs w:val="16"/>
        </w:rPr>
        <w:t xml:space="preserve">, </w:t>
      </w:r>
      <w:r>
        <w:rPr>
          <w:szCs w:val="16"/>
        </w:rPr>
        <w:t>Second J. Author</w:t>
      </w:r>
      <w:r w:rsidRPr="002136A5">
        <w:rPr>
          <w:szCs w:val="16"/>
          <w:vertAlign w:val="superscript"/>
        </w:rPr>
        <w:t>2</w:t>
      </w:r>
      <w:r>
        <w:rPr>
          <w:szCs w:val="16"/>
          <w:vertAlign w:val="superscript"/>
        </w:rPr>
        <w:t>*</w:t>
      </w:r>
      <w:r w:rsidRPr="002136A5">
        <w:rPr>
          <w:szCs w:val="16"/>
        </w:rPr>
        <w:t xml:space="preserve">, </w:t>
      </w:r>
      <w:r>
        <w:rPr>
          <w:szCs w:val="16"/>
        </w:rPr>
        <w:t>Third Q. Author</w:t>
      </w:r>
      <w:r>
        <w:rPr>
          <w:szCs w:val="16"/>
          <w:vertAlign w:val="superscript"/>
        </w:rPr>
        <w:t>1</w:t>
      </w:r>
    </w:p>
    <w:p w14:paraId="55773268" w14:textId="77777777" w:rsidR="00251C0E" w:rsidRPr="00DF45DC" w:rsidRDefault="00251C0E" w:rsidP="00251C0E">
      <w:pPr>
        <w:pStyle w:val="AuthorAddressNACS"/>
      </w:pPr>
      <w:r>
        <w:rPr>
          <w:vertAlign w:val="superscript"/>
        </w:rPr>
        <w:t>1</w:t>
      </w:r>
      <w:r>
        <w:t>Address 1</w:t>
      </w:r>
    </w:p>
    <w:p w14:paraId="58D5A48F" w14:textId="77777777" w:rsidR="00251C0E" w:rsidRPr="00DF45DC" w:rsidRDefault="00251C0E" w:rsidP="00251C0E">
      <w:pPr>
        <w:pStyle w:val="AuthorAddressNACS"/>
      </w:pPr>
      <w:r>
        <w:rPr>
          <w:vertAlign w:val="superscript"/>
        </w:rPr>
        <w:t>2</w:t>
      </w:r>
      <w:r>
        <w:t>Address 2</w:t>
      </w:r>
    </w:p>
    <w:p w14:paraId="1716E78E" w14:textId="77777777" w:rsidR="00251C0E" w:rsidRDefault="00251C0E" w:rsidP="00251C0E">
      <w:pPr>
        <w:pStyle w:val="AuthorAddressNACS"/>
      </w:pPr>
      <w:r>
        <w:t>*</w:t>
      </w:r>
      <w:proofErr w:type="gramStart"/>
      <w:r>
        <w:t>corresponding</w:t>
      </w:r>
      <w:proofErr w:type="gramEnd"/>
      <w:r>
        <w:t xml:space="preserve"> </w:t>
      </w:r>
      <w:proofErr w:type="gramStart"/>
      <w:r>
        <w:t>author:smith@xxx.ac.uk</w:t>
      </w:r>
      <w:proofErr w:type="gramEnd"/>
      <w:r>
        <w:t xml:space="preserve"> </w:t>
      </w:r>
    </w:p>
    <w:p w14:paraId="64BDF1C0" w14:textId="77777777" w:rsidR="0078502F" w:rsidRDefault="0078502F" w:rsidP="0078502F">
      <w:pPr>
        <w:jc w:val="center"/>
        <w:rPr>
          <w:sz w:val="16"/>
        </w:rPr>
      </w:pPr>
    </w:p>
    <w:p w14:paraId="65F0314F" w14:textId="77777777" w:rsidR="0078502F" w:rsidRDefault="0078502F" w:rsidP="00A46A7B">
      <w:pPr>
        <w:pStyle w:val="SectionHeadingNACS"/>
        <w:jc w:val="both"/>
      </w:pPr>
      <w:r>
        <w:t>Introduction</w:t>
      </w:r>
    </w:p>
    <w:p w14:paraId="4AA08661" w14:textId="77777777" w:rsidR="00251C0E" w:rsidRDefault="00251C0E" w:rsidP="00251C0E">
      <w:pPr>
        <w:pStyle w:val="BodyTextNACS"/>
        <w:ind w:firstLine="720"/>
      </w:pPr>
      <w:r>
        <w:t>The formatting of this document should be observed for your submission.  Body text is 8pt Times New Roman; the title is 10pt Times New Roman.  Please keep margins and columns as is.  The document margins are 1” (2.54 cm) top, bottom, left and right.  The entire document must fit on a single A4 page, in two columns as defined in this document.</w:t>
      </w:r>
    </w:p>
    <w:p w14:paraId="0B50198C" w14:textId="77777777" w:rsidR="00251C0E" w:rsidRDefault="00251C0E" w:rsidP="00251C0E">
      <w:pPr>
        <w:pStyle w:val="BodyTextNACS"/>
        <w:ind w:firstLine="720"/>
      </w:pPr>
      <w:r>
        <w:t>Standard sections are Introduction, Materials and Methods, Results and Discussion, Significance and References.</w:t>
      </w:r>
    </w:p>
    <w:p w14:paraId="1AF0CF54" w14:textId="77777777" w:rsidR="00251C0E" w:rsidRDefault="00251C0E" w:rsidP="00251C0E">
      <w:pPr>
        <w:pStyle w:val="BodyTextNACS"/>
        <w:ind w:firstLine="720"/>
      </w:pPr>
      <w:r>
        <w:t>Color figures are permitted for submission.  The below text shows examples of acceptable formatting and citations for tables, figures and references.</w:t>
      </w:r>
    </w:p>
    <w:p w14:paraId="234E7739" w14:textId="77777777" w:rsidR="00A4629E" w:rsidRDefault="00A4629E" w:rsidP="0078502F">
      <w:pPr>
        <w:rPr>
          <w:sz w:val="16"/>
        </w:rPr>
      </w:pPr>
    </w:p>
    <w:p w14:paraId="144097E8" w14:textId="77777777" w:rsidR="0078502F" w:rsidRDefault="0078502F" w:rsidP="0078502F">
      <w:pPr>
        <w:pStyle w:val="SectionHeadingNACS"/>
      </w:pPr>
      <w:r>
        <w:t>Materials and Methods</w:t>
      </w:r>
    </w:p>
    <w:p w14:paraId="0D105CBA" w14:textId="77777777" w:rsidR="00E26443" w:rsidRDefault="00AA00D0" w:rsidP="00EE418F">
      <w:pPr>
        <w:pStyle w:val="BodyTextNACS"/>
        <w:ind w:firstLine="567"/>
        <w:rPr>
          <w:szCs w:val="16"/>
          <w:lang w:val="en-GB"/>
        </w:rPr>
      </w:pPr>
      <w:r>
        <w:rPr>
          <w:szCs w:val="16"/>
          <w:lang w:val="en-GB"/>
        </w:rPr>
        <w:t xml:space="preserve">A </w:t>
      </w:r>
      <w:r w:rsidRPr="0066598A">
        <w:rPr>
          <w:szCs w:val="16"/>
          <w:lang w:val="en-GB"/>
        </w:rPr>
        <w:t xml:space="preserve">2 wt% </w:t>
      </w:r>
      <w:r>
        <w:rPr>
          <w:szCs w:val="16"/>
          <w:lang w:val="en-GB"/>
        </w:rPr>
        <w:t>Ag/Al</w:t>
      </w:r>
      <w:r w:rsidRPr="008E0595">
        <w:rPr>
          <w:szCs w:val="16"/>
          <w:vertAlign w:val="subscript"/>
          <w:lang w:val="en-GB"/>
        </w:rPr>
        <w:t>2</w:t>
      </w:r>
      <w:r>
        <w:rPr>
          <w:szCs w:val="16"/>
          <w:lang w:val="en-GB"/>
        </w:rPr>
        <w:t>O</w:t>
      </w:r>
      <w:r w:rsidRPr="008E0595">
        <w:rPr>
          <w:szCs w:val="16"/>
          <w:vertAlign w:val="subscript"/>
          <w:lang w:val="en-GB"/>
        </w:rPr>
        <w:t>3</w:t>
      </w:r>
      <w:r>
        <w:rPr>
          <w:szCs w:val="16"/>
          <w:lang w:val="en-GB"/>
        </w:rPr>
        <w:t xml:space="preserve"> </w:t>
      </w:r>
      <w:r w:rsidRPr="0066598A">
        <w:rPr>
          <w:szCs w:val="16"/>
          <w:lang w:val="en-GB"/>
        </w:rPr>
        <w:t>catalyst was prepared by the impregnation of γ-Al</w:t>
      </w:r>
      <w:r w:rsidRPr="0066598A">
        <w:rPr>
          <w:szCs w:val="16"/>
          <w:vertAlign w:val="subscript"/>
          <w:lang w:val="en-GB"/>
        </w:rPr>
        <w:t>2</w:t>
      </w:r>
      <w:r w:rsidRPr="0066598A">
        <w:rPr>
          <w:szCs w:val="16"/>
          <w:lang w:val="en-GB"/>
        </w:rPr>
        <w:t>O</w:t>
      </w:r>
      <w:r w:rsidRPr="0066598A">
        <w:rPr>
          <w:szCs w:val="16"/>
          <w:vertAlign w:val="subscript"/>
          <w:lang w:val="en-GB"/>
        </w:rPr>
        <w:t xml:space="preserve">3 </w:t>
      </w:r>
      <w:r>
        <w:rPr>
          <w:szCs w:val="16"/>
          <w:lang w:val="en-GB"/>
        </w:rPr>
        <w:t>support w</w:t>
      </w:r>
      <w:r w:rsidRPr="0066598A">
        <w:rPr>
          <w:szCs w:val="16"/>
          <w:lang w:val="en-GB"/>
        </w:rPr>
        <w:t xml:space="preserve">ith a silver nitrate solution followed by drying and calcination </w:t>
      </w:r>
      <w:r>
        <w:rPr>
          <w:szCs w:val="16"/>
          <w:lang w:val="en-GB"/>
        </w:rPr>
        <w:t>at 550</w:t>
      </w:r>
      <w:r w:rsidRPr="008E0595">
        <w:rPr>
          <w:szCs w:val="16"/>
          <w:vertAlign w:val="superscript"/>
          <w:lang w:val="en-GB"/>
        </w:rPr>
        <w:t>o</w:t>
      </w:r>
      <w:r>
        <w:rPr>
          <w:szCs w:val="16"/>
          <w:lang w:val="en-GB"/>
        </w:rPr>
        <w:t xml:space="preserve">C. </w:t>
      </w:r>
      <w:r w:rsidRPr="0066598A">
        <w:rPr>
          <w:szCs w:val="16"/>
          <w:lang w:val="en-GB"/>
        </w:rPr>
        <w:t xml:space="preserve">Catalytic activity tests were performed at 250 </w:t>
      </w:r>
      <w:r w:rsidRPr="0066598A">
        <w:rPr>
          <w:szCs w:val="16"/>
          <w:lang w:val="en-GB"/>
        </w:rPr>
        <w:sym w:font="Symbol" w:char="F0B0"/>
      </w:r>
      <w:r w:rsidRPr="0066598A">
        <w:rPr>
          <w:szCs w:val="16"/>
          <w:lang w:val="en-GB"/>
        </w:rPr>
        <w:t>C and ambient temperatures</w:t>
      </w:r>
      <w:r>
        <w:rPr>
          <w:szCs w:val="16"/>
          <w:lang w:val="en-GB"/>
        </w:rPr>
        <w:t xml:space="preserve"> with </w:t>
      </w:r>
      <w:r w:rsidRPr="0066598A">
        <w:rPr>
          <w:szCs w:val="16"/>
          <w:lang w:val="en-GB"/>
        </w:rPr>
        <w:t>720 ppm NO, 620 ppm toluene or 542 ppm C</w:t>
      </w:r>
      <w:r w:rsidRPr="0066598A">
        <w:rPr>
          <w:szCs w:val="16"/>
          <w:vertAlign w:val="subscript"/>
          <w:lang w:val="en-GB"/>
        </w:rPr>
        <w:t>8</w:t>
      </w:r>
      <w:r w:rsidRPr="0066598A">
        <w:rPr>
          <w:szCs w:val="16"/>
          <w:lang w:val="en-GB"/>
        </w:rPr>
        <w:t>H</w:t>
      </w:r>
      <w:r w:rsidRPr="0066598A">
        <w:rPr>
          <w:szCs w:val="16"/>
          <w:vertAlign w:val="subscript"/>
          <w:lang w:val="en-GB"/>
        </w:rPr>
        <w:t>18</w:t>
      </w:r>
      <w:r w:rsidRPr="0066598A">
        <w:rPr>
          <w:szCs w:val="16"/>
          <w:lang w:val="en-GB"/>
        </w:rPr>
        <w:t>, 7.2% CO</w:t>
      </w:r>
      <w:r w:rsidRPr="0066598A">
        <w:rPr>
          <w:szCs w:val="16"/>
          <w:vertAlign w:val="subscript"/>
          <w:lang w:val="en-GB"/>
        </w:rPr>
        <w:t>2</w:t>
      </w:r>
      <w:r w:rsidRPr="0066598A">
        <w:rPr>
          <w:szCs w:val="16"/>
          <w:lang w:val="en-GB"/>
        </w:rPr>
        <w:t>, 7.2% H</w:t>
      </w:r>
      <w:r w:rsidRPr="0066598A">
        <w:rPr>
          <w:szCs w:val="16"/>
          <w:vertAlign w:val="subscript"/>
          <w:lang w:val="en-GB"/>
        </w:rPr>
        <w:t>2</w:t>
      </w:r>
      <w:r w:rsidRPr="0066598A">
        <w:rPr>
          <w:szCs w:val="16"/>
          <w:lang w:val="en-GB"/>
        </w:rPr>
        <w:t>O, 5% O</w:t>
      </w:r>
      <w:r w:rsidRPr="0066598A">
        <w:rPr>
          <w:szCs w:val="16"/>
          <w:vertAlign w:val="subscript"/>
          <w:lang w:val="en-GB"/>
        </w:rPr>
        <w:t>2</w:t>
      </w:r>
      <w:r w:rsidRPr="0066598A">
        <w:rPr>
          <w:szCs w:val="16"/>
          <w:lang w:val="en-GB"/>
        </w:rPr>
        <w:t>, and with the balance He</w:t>
      </w:r>
      <w:r>
        <w:rPr>
          <w:szCs w:val="16"/>
          <w:lang w:val="en-GB"/>
        </w:rPr>
        <w:t>. The</w:t>
      </w:r>
      <w:r w:rsidR="009E1D76">
        <w:rPr>
          <w:szCs w:val="16"/>
          <w:lang w:val="en-GB"/>
        </w:rPr>
        <w:t xml:space="preserve"> experiments were designed to obtain information on the activity of the SCR catalyst when the </w:t>
      </w:r>
      <w:r w:rsidR="009E1D76" w:rsidRPr="0066598A">
        <w:rPr>
          <w:szCs w:val="16"/>
          <w:lang w:val="en-GB"/>
        </w:rPr>
        <w:t>atmospheric pressure helium</w:t>
      </w:r>
      <w:r w:rsidR="009E1D76">
        <w:rPr>
          <w:szCs w:val="16"/>
          <w:lang w:val="en-GB"/>
        </w:rPr>
        <w:t xml:space="preserve">-NTP was in direct contact with the catalyst bed. </w:t>
      </w:r>
      <w:r w:rsidR="0066598A" w:rsidRPr="0066598A">
        <w:rPr>
          <w:szCs w:val="16"/>
          <w:lang w:val="en-GB"/>
        </w:rPr>
        <w:t>Two different electrode configurations were used to generate the</w:t>
      </w:r>
      <w:r w:rsidR="009E1D76">
        <w:rPr>
          <w:szCs w:val="16"/>
          <w:lang w:val="en-GB"/>
        </w:rPr>
        <w:t xml:space="preserve"> plasma</w:t>
      </w:r>
      <w:r w:rsidR="0066598A" w:rsidRPr="0066598A">
        <w:rPr>
          <w:szCs w:val="16"/>
          <w:lang w:val="en-GB"/>
        </w:rPr>
        <w:t>. For the catalytic activity tests,</w:t>
      </w:r>
      <w:r w:rsidR="009E1D76">
        <w:rPr>
          <w:szCs w:val="16"/>
          <w:lang w:val="en-GB"/>
        </w:rPr>
        <w:t xml:space="preserve"> the </w:t>
      </w:r>
      <w:r w:rsidR="009E1D76" w:rsidRPr="0066598A">
        <w:rPr>
          <w:szCs w:val="16"/>
          <w:lang w:val="en-GB"/>
        </w:rPr>
        <w:t xml:space="preserve">dielectric barrier discharge </w:t>
      </w:r>
      <w:r w:rsidR="009E1D76">
        <w:rPr>
          <w:szCs w:val="16"/>
          <w:lang w:val="en-GB"/>
        </w:rPr>
        <w:t xml:space="preserve">was generated between </w:t>
      </w:r>
      <w:r w:rsidR="0066598A" w:rsidRPr="0066598A">
        <w:rPr>
          <w:szCs w:val="16"/>
          <w:lang w:val="en-GB"/>
        </w:rPr>
        <w:t>two external circular copper electrodes</w:t>
      </w:r>
      <w:r w:rsidR="005A7A0E">
        <w:rPr>
          <w:szCs w:val="16"/>
          <w:lang w:val="en-GB"/>
        </w:rPr>
        <w:t xml:space="preserve"> and the 2% Ag/Al</w:t>
      </w:r>
      <w:r w:rsidR="005A7A0E" w:rsidRPr="00E26443">
        <w:rPr>
          <w:szCs w:val="16"/>
          <w:vertAlign w:val="subscript"/>
          <w:lang w:val="en-GB"/>
        </w:rPr>
        <w:t>2</w:t>
      </w:r>
      <w:r w:rsidR="005A7A0E">
        <w:rPr>
          <w:szCs w:val="16"/>
          <w:lang w:val="en-GB"/>
        </w:rPr>
        <w:t>O</w:t>
      </w:r>
      <w:r w:rsidR="005A7A0E" w:rsidRPr="00E26443">
        <w:rPr>
          <w:szCs w:val="16"/>
          <w:vertAlign w:val="subscript"/>
          <w:lang w:val="en-GB"/>
        </w:rPr>
        <w:t>3</w:t>
      </w:r>
      <w:r w:rsidR="005A7A0E">
        <w:rPr>
          <w:szCs w:val="16"/>
          <w:lang w:val="en-GB"/>
        </w:rPr>
        <w:t xml:space="preserve"> catalyst sample was placed in the centre of a fixed-bed flow system</w:t>
      </w:r>
      <w:r w:rsidR="00410F43">
        <w:rPr>
          <w:szCs w:val="16"/>
          <w:lang w:val="en-GB"/>
        </w:rPr>
        <w:t xml:space="preserve"> with</w:t>
      </w:r>
      <w:r w:rsidR="005A7A0E">
        <w:rPr>
          <w:szCs w:val="16"/>
          <w:lang w:val="en-GB"/>
        </w:rPr>
        <w:t xml:space="preserve"> T-shape </w:t>
      </w:r>
      <w:r w:rsidR="0066598A" w:rsidRPr="0066598A">
        <w:rPr>
          <w:szCs w:val="16"/>
          <w:lang w:val="en-GB"/>
        </w:rPr>
        <w:t>quartz tube</w:t>
      </w:r>
      <w:r w:rsidR="00410F43">
        <w:rPr>
          <w:szCs w:val="16"/>
          <w:lang w:val="en-GB"/>
        </w:rPr>
        <w:t xml:space="preserve"> reactor</w:t>
      </w:r>
      <w:r w:rsidR="005A7A0E">
        <w:rPr>
          <w:szCs w:val="16"/>
          <w:lang w:val="en-GB"/>
        </w:rPr>
        <w:t xml:space="preserve">. </w:t>
      </w:r>
      <w:r w:rsidR="006D56CC">
        <w:rPr>
          <w:szCs w:val="16"/>
          <w:lang w:val="en-GB"/>
        </w:rPr>
        <w:t>The DRIFTS</w:t>
      </w:r>
      <w:r w:rsidR="00410F43">
        <w:rPr>
          <w:szCs w:val="16"/>
          <w:lang w:val="en-GB"/>
        </w:rPr>
        <w:t>-MS</w:t>
      </w:r>
      <w:r w:rsidR="006D56CC" w:rsidRPr="0066598A">
        <w:rPr>
          <w:szCs w:val="16"/>
          <w:lang w:val="en-GB"/>
        </w:rPr>
        <w:t xml:space="preserve"> measurements were carried out at ambient temperature </w:t>
      </w:r>
      <w:r w:rsidR="006D56CC" w:rsidRPr="0066598A">
        <w:rPr>
          <w:i/>
          <w:iCs/>
          <w:szCs w:val="16"/>
          <w:lang w:val="en-GB"/>
        </w:rPr>
        <w:t xml:space="preserve">in situ </w:t>
      </w:r>
      <w:r w:rsidR="006D56CC" w:rsidRPr="0066598A">
        <w:rPr>
          <w:szCs w:val="16"/>
          <w:lang w:val="en-GB"/>
        </w:rPr>
        <w:t xml:space="preserve">in a high temperature cell fitted with </w:t>
      </w:r>
      <w:proofErr w:type="spellStart"/>
      <w:r w:rsidR="006D56CC" w:rsidRPr="0066598A">
        <w:rPr>
          <w:szCs w:val="16"/>
          <w:lang w:val="en-GB"/>
        </w:rPr>
        <w:t>ZnSe</w:t>
      </w:r>
      <w:proofErr w:type="spellEnd"/>
      <w:r w:rsidR="006D56CC" w:rsidRPr="0066598A">
        <w:rPr>
          <w:szCs w:val="16"/>
          <w:lang w:val="en-GB"/>
        </w:rPr>
        <w:t xml:space="preserve"> windows. </w:t>
      </w:r>
      <w:r w:rsidR="006D56CC">
        <w:rPr>
          <w:szCs w:val="16"/>
          <w:lang w:val="en-GB"/>
        </w:rPr>
        <w:t xml:space="preserve">A </w:t>
      </w:r>
      <w:r w:rsidR="0066598A" w:rsidRPr="0066598A">
        <w:rPr>
          <w:szCs w:val="16"/>
          <w:lang w:val="en-GB"/>
        </w:rPr>
        <w:t xml:space="preserve">quartz covered </w:t>
      </w:r>
      <w:r w:rsidR="009E1D76">
        <w:rPr>
          <w:szCs w:val="16"/>
          <w:lang w:val="en-GB"/>
        </w:rPr>
        <w:t>t</w:t>
      </w:r>
      <w:r w:rsidR="0066598A" w:rsidRPr="0066598A">
        <w:rPr>
          <w:szCs w:val="16"/>
          <w:lang w:val="en-GB"/>
        </w:rPr>
        <w:t>ungsten wire with a pencil-shaped tapered end was inserted into a quartz tube to act as a powered electrode. The capillary tube, with a 50 cm</w:t>
      </w:r>
      <w:r w:rsidR="0066598A" w:rsidRPr="0066598A">
        <w:rPr>
          <w:szCs w:val="16"/>
          <w:vertAlign w:val="superscript"/>
          <w:lang w:val="en-GB"/>
        </w:rPr>
        <w:t>3</w:t>
      </w:r>
      <w:r w:rsidR="0066598A" w:rsidRPr="0066598A">
        <w:rPr>
          <w:szCs w:val="16"/>
          <w:lang w:val="en-GB"/>
        </w:rPr>
        <w:t xml:space="preserve"> min</w:t>
      </w:r>
      <w:r w:rsidR="0066598A" w:rsidRPr="0066598A">
        <w:rPr>
          <w:szCs w:val="16"/>
          <w:vertAlign w:val="superscript"/>
          <w:lang w:val="en-GB"/>
        </w:rPr>
        <w:t xml:space="preserve">-1 </w:t>
      </w:r>
      <w:r w:rsidR="0066598A" w:rsidRPr="0066598A">
        <w:rPr>
          <w:szCs w:val="16"/>
          <w:lang w:val="en-GB"/>
        </w:rPr>
        <w:t>helium</w:t>
      </w:r>
      <w:r w:rsidR="009E1D76">
        <w:rPr>
          <w:szCs w:val="16"/>
          <w:lang w:val="en-GB"/>
        </w:rPr>
        <w:t xml:space="preserve"> flow, was one arm of a T-shape</w:t>
      </w:r>
      <w:r w:rsidR="0066598A" w:rsidRPr="0066598A">
        <w:rPr>
          <w:szCs w:val="16"/>
          <w:lang w:val="en-GB"/>
        </w:rPr>
        <w:t xml:space="preserve"> quartz tube. </w:t>
      </w:r>
    </w:p>
    <w:p w14:paraId="47C1FCF3" w14:textId="77777777" w:rsidR="005F6D5E" w:rsidRDefault="0066598A" w:rsidP="009E1D76">
      <w:pPr>
        <w:pStyle w:val="BodyTextNACS"/>
        <w:rPr>
          <w:szCs w:val="16"/>
          <w:lang w:val="en-GB"/>
        </w:rPr>
      </w:pPr>
      <w:r w:rsidRPr="0066598A">
        <w:rPr>
          <w:szCs w:val="16"/>
          <w:lang w:val="en-GB"/>
        </w:rPr>
        <w:t xml:space="preserve">A high voltage probe (Tektronix, P6015) and a calibrated Rogowski coil (Pearson) connected to a digital oscilloscope (LeCroy </w:t>
      </w:r>
      <w:proofErr w:type="spellStart"/>
      <w:r w:rsidRPr="0066598A">
        <w:rPr>
          <w:szCs w:val="16"/>
          <w:lang w:val="en-GB"/>
        </w:rPr>
        <w:t>WavePro</w:t>
      </w:r>
      <w:proofErr w:type="spellEnd"/>
      <w:r w:rsidRPr="0066598A">
        <w:rPr>
          <w:szCs w:val="16"/>
          <w:lang w:val="en-GB"/>
        </w:rPr>
        <w:t xml:space="preserve"> 7300A) were used to measure the </w:t>
      </w:r>
      <w:r w:rsidR="005A7A0E">
        <w:rPr>
          <w:szCs w:val="16"/>
          <w:lang w:val="en-GB"/>
        </w:rPr>
        <w:t xml:space="preserve">variable, </w:t>
      </w:r>
      <w:r w:rsidRPr="0066598A">
        <w:rPr>
          <w:szCs w:val="16"/>
          <w:lang w:val="en-GB"/>
        </w:rPr>
        <w:t>time-dependent applied voltage and current</w:t>
      </w:r>
      <w:r w:rsidR="005A7A0E">
        <w:rPr>
          <w:szCs w:val="16"/>
          <w:lang w:val="en-GB"/>
        </w:rPr>
        <w:t>. The powered electrode was driven at peak voltages from 6 to 7 kV and modulated from 16 to 23 kHz.</w:t>
      </w:r>
    </w:p>
    <w:p w14:paraId="7811C4A6" w14:textId="77777777" w:rsidR="00EE418F" w:rsidRDefault="00EE418F" w:rsidP="0078502F">
      <w:pPr>
        <w:pStyle w:val="SectionHeadingNACS"/>
      </w:pPr>
    </w:p>
    <w:p w14:paraId="5CB2145B" w14:textId="77777777" w:rsidR="0078502F" w:rsidRDefault="0078502F" w:rsidP="0078502F">
      <w:pPr>
        <w:pStyle w:val="SectionHeadingNACS"/>
      </w:pPr>
      <w:r>
        <w:t>Results and Discussion</w:t>
      </w:r>
    </w:p>
    <w:p w14:paraId="36C3D13C" w14:textId="77777777" w:rsidR="00424A1B" w:rsidRDefault="00B114C6" w:rsidP="005F6D5E">
      <w:pPr>
        <w:pStyle w:val="BodyTextNACS"/>
        <w:ind w:firstLine="720"/>
        <w:rPr>
          <w:lang w:val="en-GB"/>
        </w:rPr>
      </w:pPr>
      <w:r w:rsidRPr="00B114C6">
        <w:rPr>
          <w:lang w:val="en-GB"/>
        </w:rPr>
        <w:t>When the plasma was combined with an Ag/Al</w:t>
      </w:r>
      <w:r w:rsidRPr="00B114C6">
        <w:rPr>
          <w:vertAlign w:val="subscript"/>
          <w:lang w:val="en-GB"/>
        </w:rPr>
        <w:t>2</w:t>
      </w:r>
      <w:r w:rsidRPr="00B114C6">
        <w:rPr>
          <w:lang w:val="en-GB"/>
        </w:rPr>
        <w:t>O</w:t>
      </w:r>
      <w:r w:rsidRPr="00B114C6">
        <w:rPr>
          <w:vertAlign w:val="subscript"/>
          <w:lang w:val="en-GB"/>
        </w:rPr>
        <w:t xml:space="preserve">3 </w:t>
      </w:r>
      <w:r w:rsidRPr="00B114C6">
        <w:rPr>
          <w:lang w:val="en-GB"/>
        </w:rPr>
        <w:t>catalyst a strong enhancement in activity was observed when compared with conventional thermal activation with high conversions of both NO</w:t>
      </w:r>
      <w:r w:rsidRPr="00B114C6">
        <w:rPr>
          <w:vertAlign w:val="subscript"/>
          <w:lang w:val="en-GB"/>
        </w:rPr>
        <w:t>x</w:t>
      </w:r>
      <w:r w:rsidRPr="00B114C6">
        <w:rPr>
          <w:lang w:val="en-GB"/>
        </w:rPr>
        <w:t xml:space="preserve"> and hydrocarbons obtained at temperature ≤250 </w:t>
      </w:r>
      <w:r w:rsidRPr="00B114C6">
        <w:rPr>
          <w:lang w:val="en-GB"/>
        </w:rPr>
        <w:sym w:font="Symbol" w:char="F0B0"/>
      </w:r>
      <w:r w:rsidRPr="00B114C6">
        <w:rPr>
          <w:lang w:val="en-GB"/>
        </w:rPr>
        <w:t xml:space="preserve">C, where the silver catalyst is normally inactive. </w:t>
      </w:r>
      <w:r w:rsidR="00F801D7">
        <w:rPr>
          <w:lang w:val="en-GB"/>
        </w:rPr>
        <w:t xml:space="preserve">As shown in </w:t>
      </w:r>
      <w:r w:rsidR="003641AF" w:rsidRPr="00251C0E">
        <w:rPr>
          <w:lang w:val="en-GB"/>
        </w:rPr>
        <w:t xml:space="preserve">Figure </w:t>
      </w:r>
      <w:r w:rsidR="00F801D7" w:rsidRPr="00251C0E">
        <w:rPr>
          <w:lang w:val="en-GB"/>
        </w:rPr>
        <w:t>1</w:t>
      </w:r>
      <w:r w:rsidR="005F6D5E">
        <w:rPr>
          <w:lang w:val="en-GB"/>
        </w:rPr>
        <w:t>, the</w:t>
      </w:r>
      <w:r w:rsidR="00424A1B">
        <w:rPr>
          <w:lang w:val="en-GB"/>
        </w:rPr>
        <w:t xml:space="preserve"> conversion of NO</w:t>
      </w:r>
      <w:r w:rsidR="00424A1B" w:rsidRPr="007D18BF">
        <w:rPr>
          <w:vertAlign w:val="subscript"/>
          <w:lang w:val="en-GB"/>
        </w:rPr>
        <w:t>x</w:t>
      </w:r>
      <w:r w:rsidR="00424A1B">
        <w:rPr>
          <w:lang w:val="en-GB"/>
        </w:rPr>
        <w:t xml:space="preserve"> with octane and toluene was significantly improved at</w:t>
      </w:r>
      <w:r w:rsidR="00EE418F">
        <w:rPr>
          <w:lang w:val="en-GB"/>
        </w:rPr>
        <w:t xml:space="preserve"> </w:t>
      </w:r>
      <w:r w:rsidR="003918FC">
        <w:rPr>
          <w:lang w:val="en-GB"/>
        </w:rPr>
        <w:t xml:space="preserve">250 </w:t>
      </w:r>
      <w:r w:rsidR="003918FC">
        <w:rPr>
          <w:lang w:val="en-GB"/>
        </w:rPr>
        <w:sym w:font="Symbol" w:char="F0B0"/>
      </w:r>
      <w:r w:rsidR="003918FC">
        <w:rPr>
          <w:lang w:val="en-GB"/>
        </w:rPr>
        <w:t>C</w:t>
      </w:r>
      <w:r w:rsidR="003918FC" w:rsidDel="00F801D7">
        <w:rPr>
          <w:lang w:val="en-GB"/>
        </w:rPr>
        <w:t xml:space="preserve"> </w:t>
      </w:r>
      <w:r w:rsidR="00424A1B">
        <w:rPr>
          <w:lang w:val="en-GB"/>
        </w:rPr>
        <w:t xml:space="preserve">and was found to be 25 and 74%, respectively, when the NTP was on. </w:t>
      </w:r>
      <w:r w:rsidR="00F801D7">
        <w:rPr>
          <w:lang w:val="en-GB"/>
        </w:rPr>
        <w:t xml:space="preserve">Furthermore, </w:t>
      </w:r>
      <w:r w:rsidR="00424A1B">
        <w:rPr>
          <w:lang w:val="en-GB"/>
        </w:rPr>
        <w:t xml:space="preserve">the conversion of both octane and toluene was almost complete (&gt; 99%) in the presence of NTP. </w:t>
      </w:r>
      <w:r w:rsidR="00094C09">
        <w:rPr>
          <w:lang w:val="en-GB"/>
        </w:rPr>
        <w:t xml:space="preserve">A remarkable SCR activity of the Ag-catalyst was also observed </w:t>
      </w:r>
      <w:r w:rsidR="003918FC">
        <w:rPr>
          <w:lang w:val="en-GB"/>
        </w:rPr>
        <w:t>in the absence of an external heat source</w:t>
      </w:r>
      <w:r w:rsidR="00094C09">
        <w:rPr>
          <w:lang w:val="en-GB"/>
        </w:rPr>
        <w:t xml:space="preserve"> with NTP.</w:t>
      </w:r>
      <w:r w:rsidR="00094C09" w:rsidRPr="003641AF">
        <w:rPr>
          <w:vertAlign w:val="superscript"/>
          <w:lang w:val="en-GB"/>
        </w:rPr>
        <w:t>1</w:t>
      </w:r>
      <w:r w:rsidR="00094C09">
        <w:rPr>
          <w:lang w:val="en-GB"/>
        </w:rPr>
        <w:t xml:space="preserve"> </w:t>
      </w:r>
      <w:r w:rsidR="003641AF">
        <w:rPr>
          <w:lang w:val="en-GB"/>
        </w:rPr>
        <w:t>NO</w:t>
      </w:r>
      <w:r w:rsidR="003641AF" w:rsidRPr="003641AF">
        <w:rPr>
          <w:vertAlign w:val="subscript"/>
          <w:lang w:val="en-GB"/>
        </w:rPr>
        <w:t>x</w:t>
      </w:r>
      <w:r w:rsidR="003641AF">
        <w:rPr>
          <w:lang w:val="en-GB"/>
        </w:rPr>
        <w:t xml:space="preserve"> conversions of ~52% in the case of </w:t>
      </w:r>
      <w:r w:rsidR="003641AF" w:rsidRPr="003641AF">
        <w:rPr>
          <w:i/>
          <w:lang w:val="en-GB"/>
        </w:rPr>
        <w:t>n</w:t>
      </w:r>
      <w:r w:rsidR="003641AF">
        <w:rPr>
          <w:lang w:val="en-GB"/>
        </w:rPr>
        <w:t xml:space="preserve">-octane and ~42% in the case of toluene were obtained, with hydrocarbon conversions of ~99% and ~89%, respectively. </w:t>
      </w:r>
    </w:p>
    <w:p w14:paraId="113EAD09" w14:textId="77777777" w:rsidR="00107407" w:rsidRDefault="00BB22A0" w:rsidP="005F6D5E">
      <w:pPr>
        <w:pStyle w:val="BodyTextNACS"/>
        <w:ind w:firstLine="720"/>
      </w:pPr>
      <w:r w:rsidRPr="00251C0E">
        <w:t>Figure 2</w:t>
      </w:r>
      <w:r w:rsidRPr="00B114C6">
        <w:t xml:space="preserve"> shows the </w:t>
      </w:r>
      <w:r w:rsidR="00585087">
        <w:t>substantial differences</w:t>
      </w:r>
      <w:r w:rsidR="009647D7">
        <w:t xml:space="preserve"> of</w:t>
      </w:r>
      <w:r w:rsidR="00585087">
        <w:t xml:space="preserve"> </w:t>
      </w:r>
      <w:r w:rsidR="00CB66B7" w:rsidRPr="00CB66B7">
        <w:rPr>
          <w:i/>
        </w:rPr>
        <w:t>in situ</w:t>
      </w:r>
      <w:r w:rsidRPr="00B114C6">
        <w:t xml:space="preserve"> DRIFTS spectra of surface species adsorbed on the Ag/Al</w:t>
      </w:r>
      <w:r w:rsidRPr="00B114C6">
        <w:rPr>
          <w:vertAlign w:val="subscript"/>
        </w:rPr>
        <w:t>2</w:t>
      </w:r>
      <w:r w:rsidRPr="00B114C6">
        <w:t>O</w:t>
      </w:r>
      <w:r w:rsidRPr="00B114C6">
        <w:rPr>
          <w:vertAlign w:val="subscript"/>
        </w:rPr>
        <w:t>3</w:t>
      </w:r>
      <w:r w:rsidRPr="00B114C6">
        <w:t xml:space="preserve"> catalyst during the octane-SCR reaction with plasma at </w:t>
      </w:r>
      <w:r w:rsidRPr="00B114C6">
        <w:t>ambient temperature.</w:t>
      </w:r>
      <w:r w:rsidR="00585087">
        <w:t xml:space="preserve"> It is evident that switching on NTP has resulted in changes in the intensity of surface species in which adsorbed octane was decreased together with the formation of</w:t>
      </w:r>
      <w:r w:rsidR="00A323EB">
        <w:t xml:space="preserve"> other</w:t>
      </w:r>
      <w:r w:rsidR="00585087">
        <w:t xml:space="preserve"> adsorbed species such as </w:t>
      </w:r>
      <w:r w:rsidR="009647D7">
        <w:t xml:space="preserve">nitrates, </w:t>
      </w:r>
      <w:r w:rsidR="00585087">
        <w:t>acetates, carboxylate</w:t>
      </w:r>
      <w:r w:rsidR="009647D7">
        <w:t>s</w:t>
      </w:r>
      <w:r w:rsidR="00585087">
        <w:t xml:space="preserve"> and so on.  </w:t>
      </w:r>
      <w:r w:rsidRPr="00B114C6">
        <w:t>It is interesting to note that similar species such isocyanates (2260 cm</w:t>
      </w:r>
      <w:r w:rsidRPr="00B114C6">
        <w:rPr>
          <w:vertAlign w:val="superscript"/>
        </w:rPr>
        <w:t>-1</w:t>
      </w:r>
      <w:r w:rsidRPr="00B114C6">
        <w:t>) and cyanides (2165 cm</w:t>
      </w:r>
      <w:r w:rsidRPr="00B114C6">
        <w:rPr>
          <w:vertAlign w:val="superscript"/>
        </w:rPr>
        <w:t>-1</w:t>
      </w:r>
      <w:r w:rsidRPr="00B114C6">
        <w:t>) were observed to those seen when H</w:t>
      </w:r>
      <w:r w:rsidRPr="00B114C6">
        <w:rPr>
          <w:vertAlign w:val="subscript"/>
        </w:rPr>
        <w:t>2</w:t>
      </w:r>
      <w:r w:rsidRPr="00B114C6">
        <w:t xml:space="preserve"> was used to promote the HC-SCR reaction, as reported by Chansai et al.</w:t>
      </w:r>
      <w:r w:rsidR="00E26443">
        <w:rPr>
          <w:vertAlign w:val="superscript"/>
        </w:rPr>
        <w:t>2</w:t>
      </w:r>
      <w:r w:rsidRPr="00B114C6">
        <w:t xml:space="preserve"> This indicates that the plasma could help to activate both NO and hydrocarbon.</w:t>
      </w:r>
    </w:p>
    <w:tbl>
      <w:tblPr>
        <w:tblStyle w:val="TableGrid"/>
        <w:tblW w:w="66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396"/>
      </w:tblGrid>
      <w:tr w:rsidR="005F6D5E" w14:paraId="7BA76B9C" w14:textId="77777777" w:rsidTr="00EE418F">
        <w:tc>
          <w:tcPr>
            <w:tcW w:w="3227" w:type="dxa"/>
          </w:tcPr>
          <w:p w14:paraId="2C80FBA0" w14:textId="77777777" w:rsidR="00EE418F" w:rsidRDefault="00EE418F" w:rsidP="005F6D5E">
            <w:pPr>
              <w:pStyle w:val="BodyTextNACS"/>
              <w:jc w:val="left"/>
              <w:rPr>
                <w:lang w:val="en-GB"/>
              </w:rPr>
            </w:pPr>
          </w:p>
          <w:p w14:paraId="6B41FC4B" w14:textId="77777777" w:rsidR="005F6D5E" w:rsidRDefault="005F6D5E" w:rsidP="00EE418F">
            <w:pPr>
              <w:pStyle w:val="BodyTextNACS"/>
              <w:jc w:val="center"/>
              <w:rPr>
                <w:lang w:val="en-GB"/>
              </w:rPr>
            </w:pPr>
            <w:r>
              <w:rPr>
                <w:noProof/>
                <w:lang w:val="en-GB" w:eastAsia="en-GB"/>
              </w:rPr>
              <w:drawing>
                <wp:inline distT="0" distB="0" distL="0" distR="0" wp14:anchorId="35DD1EDB" wp14:editId="7EF5857B">
                  <wp:extent cx="1599664" cy="996950"/>
                  <wp:effectExtent l="19050" t="0" r="536"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600200" cy="997284"/>
                          </a:xfrm>
                          <a:prstGeom prst="rect">
                            <a:avLst/>
                          </a:prstGeom>
                          <a:noFill/>
                          <a:ln w="9525">
                            <a:noFill/>
                            <a:miter lim="800000"/>
                            <a:headEnd/>
                            <a:tailEnd/>
                          </a:ln>
                        </pic:spPr>
                      </pic:pic>
                    </a:graphicData>
                  </a:graphic>
                </wp:inline>
              </w:drawing>
            </w:r>
          </w:p>
        </w:tc>
        <w:tc>
          <w:tcPr>
            <w:tcW w:w="3396" w:type="dxa"/>
          </w:tcPr>
          <w:p w14:paraId="5D78BAE9" w14:textId="77777777" w:rsidR="005F6D5E" w:rsidRDefault="005F6D5E" w:rsidP="00EE418F">
            <w:pPr>
              <w:pStyle w:val="BodyTextNACS"/>
              <w:ind w:left="-108"/>
              <w:rPr>
                <w:lang w:val="en-GB"/>
              </w:rPr>
            </w:pPr>
            <w:r w:rsidRPr="005F6D5E">
              <w:rPr>
                <w:noProof/>
                <w:lang w:val="en-GB" w:eastAsia="en-GB"/>
              </w:rPr>
              <w:drawing>
                <wp:inline distT="0" distB="0" distL="0" distR="0" wp14:anchorId="2C0EBC4A" wp14:editId="4C5A3F6B">
                  <wp:extent cx="1896829" cy="1130300"/>
                  <wp:effectExtent l="0" t="0" r="8171"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899784" cy="1132061"/>
                          </a:xfrm>
                          <a:prstGeom prst="rect">
                            <a:avLst/>
                          </a:prstGeom>
                          <a:noFill/>
                          <a:ln w="9525">
                            <a:noFill/>
                            <a:miter lim="800000"/>
                            <a:headEnd/>
                            <a:tailEnd/>
                          </a:ln>
                        </pic:spPr>
                      </pic:pic>
                    </a:graphicData>
                  </a:graphic>
                </wp:inline>
              </w:drawing>
            </w:r>
          </w:p>
        </w:tc>
      </w:tr>
      <w:tr w:rsidR="005F6D5E" w14:paraId="36472534" w14:textId="77777777" w:rsidTr="00EE418F">
        <w:tc>
          <w:tcPr>
            <w:tcW w:w="3227" w:type="dxa"/>
          </w:tcPr>
          <w:p w14:paraId="60D8403F" w14:textId="77777777" w:rsidR="005F6D5E" w:rsidRDefault="00EE418F" w:rsidP="0078502F">
            <w:pPr>
              <w:pStyle w:val="BodyTextNACS"/>
              <w:rPr>
                <w:lang w:val="en-GB"/>
              </w:rPr>
            </w:pPr>
            <w:r w:rsidRPr="00EE418F">
              <w:rPr>
                <w:b/>
                <w:bCs/>
                <w:lang w:val="en-GB"/>
              </w:rPr>
              <w:t>Figure 1.</w:t>
            </w:r>
            <w:r w:rsidRPr="00EE418F">
              <w:rPr>
                <w:b/>
                <w:lang w:val="en-GB"/>
              </w:rPr>
              <w:t xml:space="preserve"> </w:t>
            </w:r>
            <w:r w:rsidRPr="00EE418F">
              <w:rPr>
                <w:lang w:val="en-GB"/>
              </w:rPr>
              <w:t>NO</w:t>
            </w:r>
            <w:r w:rsidRPr="00EE418F">
              <w:rPr>
                <w:vertAlign w:val="subscript"/>
                <w:lang w:val="en-GB"/>
              </w:rPr>
              <w:t>x</w:t>
            </w:r>
            <w:r w:rsidRPr="00EE418F">
              <w:rPr>
                <w:lang w:val="en-GB"/>
              </w:rPr>
              <w:t xml:space="preserve"> and hydrocarbon conversions during the HC-SCR of NO</w:t>
            </w:r>
            <w:r w:rsidRPr="00EE418F">
              <w:rPr>
                <w:vertAlign w:val="subscript"/>
                <w:lang w:val="en-GB"/>
              </w:rPr>
              <w:t>x</w:t>
            </w:r>
            <w:r w:rsidRPr="00EE418F">
              <w:rPr>
                <w:lang w:val="en-GB"/>
              </w:rPr>
              <w:t xml:space="preserve"> reaction over 2 wt% Ag/Al</w:t>
            </w:r>
            <w:r w:rsidRPr="00EE418F">
              <w:rPr>
                <w:vertAlign w:val="subscript"/>
                <w:lang w:val="en-GB"/>
              </w:rPr>
              <w:t>2</w:t>
            </w:r>
            <w:r w:rsidRPr="00EE418F">
              <w:rPr>
                <w:lang w:val="en-GB"/>
              </w:rPr>
              <w:t>O</w:t>
            </w:r>
            <w:r w:rsidRPr="00EE418F">
              <w:rPr>
                <w:vertAlign w:val="subscript"/>
                <w:lang w:val="en-GB"/>
              </w:rPr>
              <w:t>3</w:t>
            </w:r>
            <w:r w:rsidRPr="00EE418F">
              <w:rPr>
                <w:lang w:val="en-GB"/>
              </w:rPr>
              <w:t>. Feed composition: 720 ppm NO, 4340 ppm (as C1) HC, 4.3% O</w:t>
            </w:r>
            <w:r w:rsidRPr="00EE418F">
              <w:rPr>
                <w:vertAlign w:val="subscript"/>
                <w:lang w:val="en-GB"/>
              </w:rPr>
              <w:t>2</w:t>
            </w:r>
            <w:r w:rsidRPr="00EE418F">
              <w:rPr>
                <w:lang w:val="en-GB"/>
              </w:rPr>
              <w:t>, 7.2% CO</w:t>
            </w:r>
            <w:r w:rsidRPr="00EE418F">
              <w:rPr>
                <w:vertAlign w:val="subscript"/>
                <w:lang w:val="en-GB"/>
              </w:rPr>
              <w:t>2</w:t>
            </w:r>
            <w:r w:rsidRPr="00EE418F">
              <w:rPr>
                <w:lang w:val="en-GB"/>
              </w:rPr>
              <w:t>, 7.2% H</w:t>
            </w:r>
            <w:r w:rsidRPr="00EE418F">
              <w:rPr>
                <w:vertAlign w:val="subscript"/>
                <w:lang w:val="en-GB"/>
              </w:rPr>
              <w:t>2</w:t>
            </w:r>
            <w:r w:rsidRPr="00EE418F">
              <w:rPr>
                <w:lang w:val="en-GB"/>
              </w:rPr>
              <w:t>O and He balance. The total flow rate and space velocity was 276 cm</w:t>
            </w:r>
            <w:r w:rsidRPr="00EE418F">
              <w:rPr>
                <w:vertAlign w:val="superscript"/>
                <w:lang w:val="en-GB"/>
              </w:rPr>
              <w:t>3</w:t>
            </w:r>
            <w:r w:rsidRPr="00EE418F">
              <w:rPr>
                <w:lang w:val="en-GB"/>
              </w:rPr>
              <w:t xml:space="preserve"> min</w:t>
            </w:r>
            <w:r w:rsidRPr="00EE418F">
              <w:rPr>
                <w:vertAlign w:val="superscript"/>
                <w:lang w:val="en-GB"/>
              </w:rPr>
              <w:t>-1</w:t>
            </w:r>
            <w:r w:rsidRPr="00EE418F">
              <w:rPr>
                <w:vertAlign w:val="subscript"/>
                <w:lang w:val="en-GB"/>
              </w:rPr>
              <w:t xml:space="preserve"> </w:t>
            </w:r>
            <w:r w:rsidRPr="00EE418F">
              <w:rPr>
                <w:lang w:val="en-GB"/>
              </w:rPr>
              <w:t>and 165600 cm</w:t>
            </w:r>
            <w:r w:rsidRPr="00EE418F">
              <w:rPr>
                <w:vertAlign w:val="superscript"/>
                <w:lang w:val="en-GB"/>
              </w:rPr>
              <w:t>3</w:t>
            </w:r>
            <w:r w:rsidRPr="00EE418F">
              <w:rPr>
                <w:lang w:val="en-GB"/>
              </w:rPr>
              <w:t xml:space="preserve"> g</w:t>
            </w:r>
            <w:r w:rsidRPr="00EE418F">
              <w:rPr>
                <w:vertAlign w:val="superscript"/>
                <w:lang w:val="en-GB"/>
              </w:rPr>
              <w:t>-1</w:t>
            </w:r>
            <w:r w:rsidRPr="00EE418F">
              <w:rPr>
                <w:lang w:val="en-GB"/>
              </w:rPr>
              <w:t xml:space="preserve"> h</w:t>
            </w:r>
            <w:r w:rsidRPr="00EE418F">
              <w:rPr>
                <w:vertAlign w:val="superscript"/>
                <w:lang w:val="en-GB"/>
              </w:rPr>
              <w:t>-1</w:t>
            </w:r>
            <w:r w:rsidRPr="00EE418F">
              <w:rPr>
                <w:vertAlign w:val="subscript"/>
                <w:lang w:val="en-GB"/>
              </w:rPr>
              <w:t xml:space="preserve">, </w:t>
            </w:r>
            <w:r w:rsidRPr="00EE418F">
              <w:rPr>
                <w:lang w:val="en-GB"/>
              </w:rPr>
              <w:t>respectively.</w:t>
            </w:r>
          </w:p>
        </w:tc>
        <w:tc>
          <w:tcPr>
            <w:tcW w:w="3396" w:type="dxa"/>
          </w:tcPr>
          <w:p w14:paraId="6325A566" w14:textId="77777777" w:rsidR="005F6D5E" w:rsidRDefault="00EE418F" w:rsidP="00EE418F">
            <w:pPr>
              <w:pStyle w:val="BodyTextNACS"/>
              <w:ind w:left="34" w:right="311"/>
              <w:rPr>
                <w:lang w:val="en-GB"/>
              </w:rPr>
            </w:pPr>
            <w:r w:rsidRPr="00EE418F">
              <w:rPr>
                <w:b/>
                <w:bCs/>
                <w:lang w:val="en-GB"/>
              </w:rPr>
              <w:t>Figure 2.</w:t>
            </w:r>
            <w:r w:rsidRPr="00EE418F">
              <w:rPr>
                <w:b/>
                <w:lang w:val="en-GB"/>
              </w:rPr>
              <w:t xml:space="preserve"> </w:t>
            </w:r>
            <w:r w:rsidRPr="00EE418F">
              <w:rPr>
                <w:lang w:val="en-GB"/>
              </w:rPr>
              <w:t>Changes in surface species observe during the octane-SCR of NOx reaction on Ag/Al</w:t>
            </w:r>
            <w:r w:rsidRPr="00EE418F">
              <w:rPr>
                <w:vertAlign w:val="subscript"/>
                <w:lang w:val="en-GB"/>
              </w:rPr>
              <w:t>2</w:t>
            </w:r>
            <w:r w:rsidRPr="00EE418F">
              <w:rPr>
                <w:lang w:val="en-GB"/>
              </w:rPr>
              <w:t>O</w:t>
            </w:r>
            <w:r w:rsidRPr="00EE418F">
              <w:rPr>
                <w:vertAlign w:val="subscript"/>
                <w:lang w:val="en-GB"/>
              </w:rPr>
              <w:t>3</w:t>
            </w:r>
            <w:r w:rsidRPr="00EE418F">
              <w:rPr>
                <w:lang w:val="en-GB"/>
              </w:rPr>
              <w:t xml:space="preserve"> with and without plasma. Feed composition: 720 ppm NO, 4340 ppm (as C1) C</w:t>
            </w:r>
            <w:r w:rsidRPr="00EE418F">
              <w:rPr>
                <w:vertAlign w:val="subscript"/>
                <w:lang w:val="en-GB"/>
              </w:rPr>
              <w:t>8</w:t>
            </w:r>
            <w:r w:rsidRPr="00EE418F">
              <w:rPr>
                <w:lang w:val="en-GB"/>
              </w:rPr>
              <w:t>H</w:t>
            </w:r>
            <w:r w:rsidRPr="00EE418F">
              <w:rPr>
                <w:vertAlign w:val="subscript"/>
                <w:lang w:val="en-GB"/>
              </w:rPr>
              <w:t>18</w:t>
            </w:r>
            <w:r w:rsidRPr="00EE418F">
              <w:rPr>
                <w:lang w:val="en-GB"/>
              </w:rPr>
              <w:t>, 5% O</w:t>
            </w:r>
            <w:r w:rsidRPr="00EE418F">
              <w:rPr>
                <w:vertAlign w:val="subscript"/>
                <w:lang w:val="en-GB"/>
              </w:rPr>
              <w:t>2</w:t>
            </w:r>
            <w:r w:rsidRPr="00EE418F">
              <w:rPr>
                <w:lang w:val="en-GB"/>
              </w:rPr>
              <w:t>, 4% H</w:t>
            </w:r>
            <w:r w:rsidRPr="00EE418F">
              <w:rPr>
                <w:vertAlign w:val="subscript"/>
                <w:lang w:val="en-GB"/>
              </w:rPr>
              <w:t>2</w:t>
            </w:r>
            <w:r w:rsidRPr="00EE418F">
              <w:rPr>
                <w:lang w:val="en-GB"/>
              </w:rPr>
              <w:t>O and He balance. The total flow rate was 100 cm</w:t>
            </w:r>
            <w:r w:rsidRPr="00EE418F">
              <w:rPr>
                <w:vertAlign w:val="superscript"/>
                <w:lang w:val="en-GB"/>
              </w:rPr>
              <w:t>3</w:t>
            </w:r>
            <w:r w:rsidRPr="00EE418F">
              <w:rPr>
                <w:lang w:val="en-GB"/>
              </w:rPr>
              <w:t xml:space="preserve"> min</w:t>
            </w:r>
            <w:r w:rsidRPr="00EE418F">
              <w:rPr>
                <w:vertAlign w:val="superscript"/>
                <w:lang w:val="en-GB"/>
              </w:rPr>
              <w:t>-1</w:t>
            </w:r>
            <w:r w:rsidRPr="00EE418F">
              <w:rPr>
                <w:vertAlign w:val="subscript"/>
                <w:lang w:val="en-GB"/>
              </w:rPr>
              <w:t>.</w:t>
            </w:r>
          </w:p>
        </w:tc>
      </w:tr>
    </w:tbl>
    <w:p w14:paraId="626B0BFD" w14:textId="77777777" w:rsidR="00107407" w:rsidRDefault="00107407" w:rsidP="0078502F">
      <w:pPr>
        <w:pStyle w:val="BodyTextNACS"/>
        <w:rPr>
          <w:lang w:val="en-GB"/>
        </w:rPr>
      </w:pPr>
    </w:p>
    <w:p w14:paraId="3FB7C96B" w14:textId="77777777" w:rsidR="00251C0E" w:rsidRDefault="00251C0E" w:rsidP="00251C0E">
      <w:pPr>
        <w:pStyle w:val="BodyTextNACS"/>
      </w:pPr>
      <w:r>
        <w:rPr>
          <w:b/>
        </w:rPr>
        <w:t xml:space="preserve">Table 1. </w:t>
      </w:r>
      <w:r w:rsidR="0017296E" w:rsidRPr="0017296E">
        <w:t xml:space="preserve">NTP </w:t>
      </w:r>
      <w:r w:rsidR="0017296E">
        <w:t>p</w:t>
      </w:r>
      <w:r>
        <w:t xml:space="preserve">roduct </w:t>
      </w:r>
      <w:proofErr w:type="spellStart"/>
      <w:r w:rsidR="0017296E">
        <w:t>selectivies</w:t>
      </w:r>
      <w:proofErr w:type="spellEnd"/>
      <w:r>
        <w:t xml:space="preserve"> and NO</w:t>
      </w:r>
      <w:r w:rsidRPr="00251C0E">
        <w:rPr>
          <w:vertAlign w:val="subscript"/>
        </w:rPr>
        <w:t>x</w:t>
      </w:r>
      <w:r>
        <w:t xml:space="preserve"> and hydrocarbon conversion</w:t>
      </w:r>
      <w:r w:rsidR="0017296E">
        <w:t xml:space="preserve"> (HC) at room temperature</w:t>
      </w:r>
      <w:r>
        <w:t>.</w:t>
      </w:r>
    </w:p>
    <w:p w14:paraId="08B6E5EA" w14:textId="77777777" w:rsidR="0017296E" w:rsidRPr="00CE6EDA" w:rsidRDefault="0017296E" w:rsidP="00251C0E">
      <w:pPr>
        <w:pStyle w:val="BodyTextNACS"/>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8"/>
        <w:gridCol w:w="709"/>
        <w:gridCol w:w="708"/>
        <w:gridCol w:w="709"/>
        <w:gridCol w:w="709"/>
        <w:gridCol w:w="697"/>
        <w:gridCol w:w="720"/>
      </w:tblGrid>
      <w:tr w:rsidR="0017296E" w14:paraId="68AA0624" w14:textId="77777777" w:rsidTr="0017296E">
        <w:trPr>
          <w:trHeight w:val="233"/>
        </w:trPr>
        <w:tc>
          <w:tcPr>
            <w:tcW w:w="1148" w:type="dxa"/>
          </w:tcPr>
          <w:p w14:paraId="6B9F05E4" w14:textId="77777777" w:rsidR="0017296E" w:rsidRDefault="0017296E" w:rsidP="00890162">
            <w:pPr>
              <w:pStyle w:val="BodyTextNACS"/>
              <w:rPr>
                <w:b/>
              </w:rPr>
            </w:pPr>
          </w:p>
        </w:tc>
        <w:tc>
          <w:tcPr>
            <w:tcW w:w="709" w:type="dxa"/>
          </w:tcPr>
          <w:p w14:paraId="4EB1EB65" w14:textId="77777777" w:rsidR="0017296E" w:rsidRDefault="0017296E" w:rsidP="00890162">
            <w:pPr>
              <w:pStyle w:val="BodyTextNACS"/>
              <w:jc w:val="center"/>
              <w:rPr>
                <w:b/>
              </w:rPr>
            </w:pPr>
            <w:r>
              <w:rPr>
                <w:b/>
              </w:rPr>
              <w:t>%NO</w:t>
            </w:r>
            <w:r w:rsidRPr="0017296E">
              <w:rPr>
                <w:b/>
                <w:vertAlign w:val="subscript"/>
              </w:rPr>
              <w:t>x</w:t>
            </w:r>
            <w:r>
              <w:rPr>
                <w:b/>
              </w:rPr>
              <w:t xml:space="preserve"> conv.</w:t>
            </w:r>
          </w:p>
        </w:tc>
        <w:tc>
          <w:tcPr>
            <w:tcW w:w="708" w:type="dxa"/>
          </w:tcPr>
          <w:p w14:paraId="1AA06D5E" w14:textId="77777777" w:rsidR="0017296E" w:rsidRDefault="0017296E" w:rsidP="0017296E">
            <w:pPr>
              <w:pStyle w:val="BodyTextNACS"/>
              <w:jc w:val="center"/>
              <w:rPr>
                <w:b/>
              </w:rPr>
            </w:pPr>
            <w:r>
              <w:rPr>
                <w:b/>
              </w:rPr>
              <w:t>%N</w:t>
            </w:r>
            <w:r w:rsidRPr="0017296E">
              <w:rPr>
                <w:b/>
                <w:vertAlign w:val="subscript"/>
              </w:rPr>
              <w:t>2</w:t>
            </w:r>
          </w:p>
          <w:p w14:paraId="1790634D" w14:textId="77777777" w:rsidR="0017296E" w:rsidRPr="0017296E" w:rsidRDefault="0017296E" w:rsidP="0017296E">
            <w:pPr>
              <w:pStyle w:val="BodyTextNACS"/>
              <w:jc w:val="center"/>
              <w:rPr>
                <w:b/>
              </w:rPr>
            </w:pPr>
            <w:r>
              <w:rPr>
                <w:b/>
              </w:rPr>
              <w:t>select.</w:t>
            </w:r>
          </w:p>
        </w:tc>
        <w:tc>
          <w:tcPr>
            <w:tcW w:w="709" w:type="dxa"/>
          </w:tcPr>
          <w:p w14:paraId="193E44A3" w14:textId="77777777" w:rsidR="0017296E" w:rsidRDefault="0017296E" w:rsidP="00890162">
            <w:pPr>
              <w:pStyle w:val="BodyTextNACS"/>
              <w:jc w:val="center"/>
              <w:rPr>
                <w:b/>
              </w:rPr>
            </w:pPr>
            <w:r>
              <w:rPr>
                <w:b/>
              </w:rPr>
              <w:t>%N</w:t>
            </w:r>
            <w:r w:rsidRPr="0017296E">
              <w:rPr>
                <w:b/>
                <w:vertAlign w:val="subscript"/>
              </w:rPr>
              <w:t>2</w:t>
            </w:r>
            <w:r>
              <w:rPr>
                <w:b/>
              </w:rPr>
              <w:t>O</w:t>
            </w:r>
          </w:p>
          <w:p w14:paraId="04DBD585" w14:textId="77777777" w:rsidR="0017296E" w:rsidRDefault="0017296E" w:rsidP="0017296E">
            <w:pPr>
              <w:pStyle w:val="BodyTextNACS"/>
              <w:jc w:val="center"/>
              <w:rPr>
                <w:b/>
              </w:rPr>
            </w:pPr>
            <w:r>
              <w:rPr>
                <w:b/>
              </w:rPr>
              <w:t>select.</w:t>
            </w:r>
          </w:p>
        </w:tc>
        <w:tc>
          <w:tcPr>
            <w:tcW w:w="709" w:type="dxa"/>
          </w:tcPr>
          <w:p w14:paraId="009AFA8E" w14:textId="77777777" w:rsidR="0017296E" w:rsidRDefault="0017296E" w:rsidP="00890162">
            <w:pPr>
              <w:pStyle w:val="BodyTextNACS"/>
              <w:jc w:val="center"/>
              <w:rPr>
                <w:b/>
              </w:rPr>
            </w:pPr>
            <w:r>
              <w:rPr>
                <w:b/>
              </w:rPr>
              <w:t>%HC</w:t>
            </w:r>
          </w:p>
          <w:p w14:paraId="548AC5A5" w14:textId="77777777" w:rsidR="0017296E" w:rsidRDefault="0017296E" w:rsidP="00890162">
            <w:pPr>
              <w:pStyle w:val="BodyTextNACS"/>
              <w:jc w:val="center"/>
              <w:rPr>
                <w:b/>
              </w:rPr>
            </w:pPr>
            <w:r>
              <w:rPr>
                <w:b/>
              </w:rPr>
              <w:t>conv.</w:t>
            </w:r>
          </w:p>
        </w:tc>
        <w:tc>
          <w:tcPr>
            <w:tcW w:w="697" w:type="dxa"/>
          </w:tcPr>
          <w:p w14:paraId="6ACD1D49" w14:textId="77777777" w:rsidR="0017296E" w:rsidRDefault="0017296E" w:rsidP="00890162">
            <w:pPr>
              <w:pStyle w:val="BodyTextNACS"/>
              <w:jc w:val="center"/>
              <w:rPr>
                <w:b/>
              </w:rPr>
            </w:pPr>
            <w:r>
              <w:rPr>
                <w:b/>
              </w:rPr>
              <w:t>%CO</w:t>
            </w:r>
            <w:r w:rsidRPr="0017296E">
              <w:rPr>
                <w:b/>
                <w:vertAlign w:val="subscript"/>
              </w:rPr>
              <w:t>2</w:t>
            </w:r>
          </w:p>
          <w:p w14:paraId="59E976B9" w14:textId="77777777" w:rsidR="0017296E" w:rsidRDefault="0017296E" w:rsidP="00890162">
            <w:pPr>
              <w:pStyle w:val="BodyTextNACS"/>
              <w:jc w:val="center"/>
              <w:rPr>
                <w:b/>
              </w:rPr>
            </w:pPr>
            <w:r>
              <w:rPr>
                <w:b/>
              </w:rPr>
              <w:t>select.</w:t>
            </w:r>
          </w:p>
        </w:tc>
        <w:tc>
          <w:tcPr>
            <w:tcW w:w="720" w:type="dxa"/>
          </w:tcPr>
          <w:p w14:paraId="6C7C8520" w14:textId="77777777" w:rsidR="0017296E" w:rsidRDefault="0017296E" w:rsidP="00890162">
            <w:pPr>
              <w:pStyle w:val="BodyTextNACS"/>
              <w:jc w:val="center"/>
              <w:rPr>
                <w:b/>
              </w:rPr>
            </w:pPr>
            <w:r>
              <w:rPr>
                <w:b/>
              </w:rPr>
              <w:t>%CO</w:t>
            </w:r>
          </w:p>
          <w:p w14:paraId="000C0860" w14:textId="77777777" w:rsidR="0017296E" w:rsidRDefault="0017296E" w:rsidP="0017296E">
            <w:pPr>
              <w:pStyle w:val="BodyTextNACS"/>
              <w:jc w:val="center"/>
              <w:rPr>
                <w:b/>
              </w:rPr>
            </w:pPr>
            <w:r>
              <w:rPr>
                <w:b/>
              </w:rPr>
              <w:t>select.</w:t>
            </w:r>
          </w:p>
        </w:tc>
      </w:tr>
      <w:tr w:rsidR="0017296E" w14:paraId="6957A21C" w14:textId="77777777" w:rsidTr="0017296E">
        <w:trPr>
          <w:trHeight w:val="197"/>
        </w:trPr>
        <w:tc>
          <w:tcPr>
            <w:tcW w:w="1148" w:type="dxa"/>
          </w:tcPr>
          <w:p w14:paraId="5DBA86EB" w14:textId="77777777" w:rsidR="0017296E" w:rsidRDefault="0017296E" w:rsidP="00890162">
            <w:pPr>
              <w:pStyle w:val="BodyTextNACS"/>
            </w:pPr>
            <w:r>
              <w:t>Octane-SCR</w:t>
            </w:r>
          </w:p>
        </w:tc>
        <w:tc>
          <w:tcPr>
            <w:tcW w:w="709" w:type="dxa"/>
            <w:vAlign w:val="center"/>
          </w:tcPr>
          <w:p w14:paraId="57D6C5CD" w14:textId="77777777" w:rsidR="0017296E" w:rsidRDefault="0017296E" w:rsidP="00890162">
            <w:pPr>
              <w:pStyle w:val="BodyTextNACS"/>
              <w:jc w:val="center"/>
            </w:pPr>
            <w:r>
              <w:t>51.7</w:t>
            </w:r>
          </w:p>
        </w:tc>
        <w:tc>
          <w:tcPr>
            <w:tcW w:w="708" w:type="dxa"/>
            <w:vAlign w:val="center"/>
          </w:tcPr>
          <w:p w14:paraId="656F40E8" w14:textId="77777777" w:rsidR="0017296E" w:rsidRDefault="0017296E" w:rsidP="00890162">
            <w:pPr>
              <w:pStyle w:val="BodyTextNACS"/>
              <w:jc w:val="center"/>
            </w:pPr>
            <w:r>
              <w:t>77.9</w:t>
            </w:r>
          </w:p>
        </w:tc>
        <w:tc>
          <w:tcPr>
            <w:tcW w:w="709" w:type="dxa"/>
          </w:tcPr>
          <w:p w14:paraId="7819F2A6" w14:textId="77777777" w:rsidR="0017296E" w:rsidRDefault="0017296E" w:rsidP="00890162">
            <w:pPr>
              <w:pStyle w:val="BodyTextNACS"/>
              <w:jc w:val="center"/>
            </w:pPr>
            <w:r>
              <w:t>21.5</w:t>
            </w:r>
          </w:p>
        </w:tc>
        <w:tc>
          <w:tcPr>
            <w:tcW w:w="709" w:type="dxa"/>
            <w:vAlign w:val="center"/>
          </w:tcPr>
          <w:p w14:paraId="167EB980" w14:textId="77777777" w:rsidR="0017296E" w:rsidRDefault="0017296E" w:rsidP="00890162">
            <w:pPr>
              <w:pStyle w:val="BodyTextNACS"/>
              <w:jc w:val="center"/>
            </w:pPr>
            <w:r>
              <w:t>98.8</w:t>
            </w:r>
          </w:p>
        </w:tc>
        <w:tc>
          <w:tcPr>
            <w:tcW w:w="697" w:type="dxa"/>
            <w:vAlign w:val="center"/>
          </w:tcPr>
          <w:p w14:paraId="169F2C42" w14:textId="77777777" w:rsidR="0017296E" w:rsidRDefault="0017296E" w:rsidP="00890162">
            <w:pPr>
              <w:pStyle w:val="BodyTextNACS"/>
              <w:jc w:val="center"/>
            </w:pPr>
            <w:r>
              <w:t>86.1</w:t>
            </w:r>
          </w:p>
        </w:tc>
        <w:tc>
          <w:tcPr>
            <w:tcW w:w="720" w:type="dxa"/>
            <w:vAlign w:val="center"/>
          </w:tcPr>
          <w:p w14:paraId="7371A1C3" w14:textId="77777777" w:rsidR="0017296E" w:rsidRDefault="0017296E" w:rsidP="00890162">
            <w:pPr>
              <w:pStyle w:val="BodyTextNACS"/>
              <w:jc w:val="center"/>
            </w:pPr>
            <w:r>
              <w:t>13.5</w:t>
            </w:r>
          </w:p>
        </w:tc>
      </w:tr>
      <w:tr w:rsidR="0017296E" w14:paraId="4FC21086" w14:textId="77777777" w:rsidTr="0017296E">
        <w:trPr>
          <w:trHeight w:val="170"/>
        </w:trPr>
        <w:tc>
          <w:tcPr>
            <w:tcW w:w="1148" w:type="dxa"/>
          </w:tcPr>
          <w:p w14:paraId="61F2F824" w14:textId="77777777" w:rsidR="0017296E" w:rsidRDefault="0017296E" w:rsidP="00890162">
            <w:pPr>
              <w:pStyle w:val="BodyTextNACS"/>
              <w:jc w:val="left"/>
            </w:pPr>
            <w:r>
              <w:t>Toluene-SCR</w:t>
            </w:r>
          </w:p>
        </w:tc>
        <w:tc>
          <w:tcPr>
            <w:tcW w:w="709" w:type="dxa"/>
            <w:vAlign w:val="center"/>
          </w:tcPr>
          <w:p w14:paraId="41267377" w14:textId="77777777" w:rsidR="0017296E" w:rsidRDefault="0017296E" w:rsidP="00890162">
            <w:pPr>
              <w:pStyle w:val="BodyTextNACS"/>
              <w:jc w:val="center"/>
            </w:pPr>
            <w:r>
              <w:t>42.4</w:t>
            </w:r>
          </w:p>
        </w:tc>
        <w:tc>
          <w:tcPr>
            <w:tcW w:w="708" w:type="dxa"/>
            <w:vAlign w:val="center"/>
          </w:tcPr>
          <w:p w14:paraId="7B2875C4" w14:textId="77777777" w:rsidR="0017296E" w:rsidRDefault="0017296E" w:rsidP="00890162">
            <w:pPr>
              <w:pStyle w:val="BodyTextNACS"/>
              <w:jc w:val="center"/>
            </w:pPr>
            <w:r>
              <w:t>96.1</w:t>
            </w:r>
          </w:p>
        </w:tc>
        <w:tc>
          <w:tcPr>
            <w:tcW w:w="709" w:type="dxa"/>
          </w:tcPr>
          <w:p w14:paraId="5A3AE2BA" w14:textId="77777777" w:rsidR="0017296E" w:rsidRDefault="0017296E" w:rsidP="00890162">
            <w:pPr>
              <w:pStyle w:val="BodyTextNACS"/>
              <w:jc w:val="center"/>
            </w:pPr>
            <w:r>
              <w:t>1.5</w:t>
            </w:r>
          </w:p>
        </w:tc>
        <w:tc>
          <w:tcPr>
            <w:tcW w:w="709" w:type="dxa"/>
            <w:vAlign w:val="center"/>
          </w:tcPr>
          <w:p w14:paraId="2018E399" w14:textId="77777777" w:rsidR="0017296E" w:rsidRDefault="0017296E" w:rsidP="00890162">
            <w:pPr>
              <w:pStyle w:val="BodyTextNACS"/>
              <w:jc w:val="center"/>
            </w:pPr>
            <w:r>
              <w:t>89.1</w:t>
            </w:r>
          </w:p>
        </w:tc>
        <w:tc>
          <w:tcPr>
            <w:tcW w:w="697" w:type="dxa"/>
            <w:vAlign w:val="center"/>
          </w:tcPr>
          <w:p w14:paraId="75E018E1" w14:textId="77777777" w:rsidR="0017296E" w:rsidRDefault="0017296E" w:rsidP="00890162">
            <w:pPr>
              <w:pStyle w:val="BodyTextNACS"/>
              <w:jc w:val="center"/>
            </w:pPr>
            <w:r>
              <w:t>90.0</w:t>
            </w:r>
          </w:p>
        </w:tc>
        <w:tc>
          <w:tcPr>
            <w:tcW w:w="720" w:type="dxa"/>
            <w:vAlign w:val="center"/>
          </w:tcPr>
          <w:p w14:paraId="312767B3" w14:textId="77777777" w:rsidR="0017296E" w:rsidRDefault="0017296E" w:rsidP="00890162">
            <w:pPr>
              <w:pStyle w:val="BodyTextNACS"/>
              <w:jc w:val="center"/>
            </w:pPr>
            <w:r>
              <w:t>10.0</w:t>
            </w:r>
          </w:p>
        </w:tc>
      </w:tr>
    </w:tbl>
    <w:p w14:paraId="6300BDFE" w14:textId="77777777" w:rsidR="00251C0E" w:rsidRDefault="00251C0E" w:rsidP="0078502F">
      <w:pPr>
        <w:pStyle w:val="BodyTextNACS"/>
        <w:rPr>
          <w:lang w:val="en-GB"/>
        </w:rPr>
      </w:pPr>
    </w:p>
    <w:p w14:paraId="2E85A6E5" w14:textId="77777777" w:rsidR="00EE418F" w:rsidRDefault="00EE418F" w:rsidP="00EE418F">
      <w:pPr>
        <w:pStyle w:val="SectionHeadingNACS"/>
      </w:pPr>
      <w:r>
        <w:t>Significance</w:t>
      </w:r>
    </w:p>
    <w:p w14:paraId="58606F10" w14:textId="77777777" w:rsidR="00EE418F" w:rsidRPr="00B114C6" w:rsidRDefault="00EE418F" w:rsidP="00EE418F">
      <w:pPr>
        <w:pStyle w:val="SectionHeadingNACS"/>
        <w:jc w:val="both"/>
        <w:rPr>
          <w:b w:val="0"/>
          <w:lang w:val="en-GB"/>
        </w:rPr>
      </w:pPr>
      <w:r w:rsidRPr="00B114C6">
        <w:rPr>
          <w:b w:val="0"/>
        </w:rPr>
        <w:t>An atmospheric pressure non-thermal plasma system was developed to assist the low temperature SCR activity of an Ag/Al</w:t>
      </w:r>
      <w:r w:rsidRPr="00B114C6">
        <w:rPr>
          <w:b w:val="0"/>
          <w:vertAlign w:val="subscript"/>
        </w:rPr>
        <w:t>2</w:t>
      </w:r>
      <w:r w:rsidRPr="00B114C6">
        <w:rPr>
          <w:b w:val="0"/>
        </w:rPr>
        <w:t>O</w:t>
      </w:r>
      <w:r w:rsidRPr="00B114C6">
        <w:rPr>
          <w:b w:val="0"/>
          <w:vertAlign w:val="subscript"/>
        </w:rPr>
        <w:t xml:space="preserve">3 </w:t>
      </w:r>
      <w:r w:rsidRPr="00B114C6">
        <w:rPr>
          <w:b w:val="0"/>
        </w:rPr>
        <w:t xml:space="preserve">catalyst with octane and toluene. It has been shown that NOx reduction is remarkably enhanced at very low temperatures. The </w:t>
      </w:r>
      <w:proofErr w:type="gramStart"/>
      <w:r w:rsidRPr="00B114C6">
        <w:rPr>
          <w:b w:val="0"/>
          <w:i/>
          <w:iCs/>
          <w:lang w:val="en-GB"/>
        </w:rPr>
        <w:t>in situ</w:t>
      </w:r>
      <w:proofErr w:type="gramEnd"/>
      <w:r w:rsidRPr="00B114C6">
        <w:rPr>
          <w:b w:val="0"/>
          <w:i/>
          <w:iCs/>
          <w:lang w:val="en-GB"/>
        </w:rPr>
        <w:t xml:space="preserve"> </w:t>
      </w:r>
      <w:r w:rsidRPr="00B114C6">
        <w:rPr>
          <w:b w:val="0"/>
        </w:rPr>
        <w:t xml:space="preserve">DRIFTS measurement </w:t>
      </w:r>
      <w:r w:rsidRPr="00B114C6">
        <w:rPr>
          <w:b w:val="0"/>
          <w:lang w:val="en-GB"/>
        </w:rPr>
        <w:t xml:space="preserve">indicated that the NTP could help to activate both NO and hydrocarbon, proving a real insight into the mechanism by which plasma can promote this reaction at 25 </w:t>
      </w:r>
      <w:proofErr w:type="spellStart"/>
      <w:r w:rsidRPr="00B114C6">
        <w:rPr>
          <w:b w:val="0"/>
          <w:vertAlign w:val="superscript"/>
          <w:lang w:val="en-GB"/>
        </w:rPr>
        <w:t>o</w:t>
      </w:r>
      <w:r w:rsidRPr="00B114C6">
        <w:rPr>
          <w:b w:val="0"/>
          <w:lang w:val="en-GB"/>
        </w:rPr>
        <w:t>C</w:t>
      </w:r>
      <w:proofErr w:type="spellEnd"/>
      <w:r w:rsidRPr="00B114C6">
        <w:rPr>
          <w:b w:val="0"/>
        </w:rPr>
        <w:t xml:space="preserve">. </w:t>
      </w:r>
      <w:r w:rsidRPr="00B114C6">
        <w:rPr>
          <w:b w:val="0"/>
          <w:lang w:val="en-GB"/>
        </w:rPr>
        <w:t>This low temperature activity provides the basis for increased exhaust gas treatment during cold start conditions which remains an important issue for mobile and stationary applications.</w:t>
      </w:r>
    </w:p>
    <w:p w14:paraId="0691AAC8" w14:textId="77777777" w:rsidR="008E0595" w:rsidRDefault="008E0595" w:rsidP="0078502F">
      <w:pPr>
        <w:pStyle w:val="BodyTextNACS"/>
        <w:rPr>
          <w:lang w:val="en-GB"/>
        </w:rPr>
      </w:pPr>
    </w:p>
    <w:p w14:paraId="1D5178B3" w14:textId="77777777" w:rsidR="00706D8C" w:rsidRDefault="0078502F" w:rsidP="00457EF9">
      <w:pPr>
        <w:pStyle w:val="SectionHeadingNACS"/>
      </w:pPr>
      <w:r>
        <w:t>References</w:t>
      </w:r>
    </w:p>
    <w:p w14:paraId="59902DCA" w14:textId="77777777" w:rsidR="000703A3" w:rsidRPr="00AD1901" w:rsidRDefault="00CB66B7" w:rsidP="00642B18">
      <w:pPr>
        <w:ind w:left="360" w:hanging="360"/>
        <w:jc w:val="both"/>
        <w:rPr>
          <w:sz w:val="16"/>
          <w:szCs w:val="16"/>
        </w:rPr>
      </w:pPr>
      <w:r w:rsidRPr="00AD1901">
        <w:rPr>
          <w:sz w:val="16"/>
          <w:szCs w:val="16"/>
        </w:rPr>
        <w:fldChar w:fldCharType="begin"/>
      </w:r>
      <w:r w:rsidR="00706D8C" w:rsidRPr="00AD1901">
        <w:rPr>
          <w:sz w:val="16"/>
          <w:szCs w:val="16"/>
        </w:rPr>
        <w:instrText xml:space="preserve"> ADDIN EN.REFLIST </w:instrText>
      </w:r>
      <w:r w:rsidRPr="00AD1901">
        <w:rPr>
          <w:sz w:val="16"/>
          <w:szCs w:val="16"/>
        </w:rPr>
        <w:fldChar w:fldCharType="separate"/>
      </w:r>
      <w:r w:rsidR="000703A3" w:rsidRPr="00AD1901">
        <w:rPr>
          <w:sz w:val="16"/>
          <w:szCs w:val="16"/>
        </w:rPr>
        <w:t>1.</w:t>
      </w:r>
      <w:r w:rsidR="000703A3" w:rsidRPr="00AD1901">
        <w:rPr>
          <w:sz w:val="16"/>
          <w:szCs w:val="16"/>
        </w:rPr>
        <w:tab/>
      </w:r>
      <w:r w:rsidR="00E26443" w:rsidRPr="00450359">
        <w:rPr>
          <w:sz w:val="16"/>
          <w:szCs w:val="16"/>
        </w:rPr>
        <w:t xml:space="preserve">Stere, C. E.; </w:t>
      </w:r>
      <w:r w:rsidR="00E26443" w:rsidRPr="00450359">
        <w:rPr>
          <w:sz w:val="16"/>
          <w:szCs w:val="16"/>
          <w:lang w:val="en-GB"/>
        </w:rPr>
        <w:t>Adress, W.; Burch, R.; Chansai, S.; Goguet,</w:t>
      </w:r>
      <w:r w:rsidR="00450359" w:rsidRPr="00450359">
        <w:rPr>
          <w:sz w:val="16"/>
          <w:szCs w:val="16"/>
          <w:lang w:val="en-GB"/>
        </w:rPr>
        <w:t xml:space="preserve"> A.;</w:t>
      </w:r>
      <w:r w:rsidR="00E26443" w:rsidRPr="00450359">
        <w:rPr>
          <w:sz w:val="16"/>
          <w:szCs w:val="16"/>
          <w:lang w:val="en-GB"/>
        </w:rPr>
        <w:t xml:space="preserve"> Graham,</w:t>
      </w:r>
      <w:r w:rsidR="00450359" w:rsidRPr="00450359">
        <w:rPr>
          <w:sz w:val="16"/>
          <w:szCs w:val="16"/>
          <w:lang w:val="en-GB"/>
        </w:rPr>
        <w:t xml:space="preserve"> W.G.;</w:t>
      </w:r>
      <w:r w:rsidR="00E26443" w:rsidRPr="00450359">
        <w:rPr>
          <w:sz w:val="16"/>
          <w:szCs w:val="16"/>
          <w:lang w:val="en-GB"/>
        </w:rPr>
        <w:t xml:space="preserve"> </w:t>
      </w:r>
      <w:r w:rsidR="00450359" w:rsidRPr="00450359">
        <w:rPr>
          <w:sz w:val="16"/>
          <w:szCs w:val="16"/>
          <w:lang w:val="en-GB"/>
        </w:rPr>
        <w:t xml:space="preserve">De Rosa, F.; Palma, V.; </w:t>
      </w:r>
      <w:r w:rsidR="00E26443" w:rsidRPr="00450359">
        <w:rPr>
          <w:sz w:val="16"/>
          <w:szCs w:val="16"/>
          <w:lang w:val="en-GB"/>
        </w:rPr>
        <w:t>Hardacre,</w:t>
      </w:r>
      <w:r w:rsidR="00450359" w:rsidRPr="00450359">
        <w:rPr>
          <w:sz w:val="16"/>
          <w:szCs w:val="16"/>
          <w:lang w:val="en-GB"/>
        </w:rPr>
        <w:t xml:space="preserve"> C.</w:t>
      </w:r>
      <w:r w:rsidR="00E26443" w:rsidRPr="00450359">
        <w:rPr>
          <w:sz w:val="16"/>
          <w:szCs w:val="16"/>
          <w:lang w:val="en-GB"/>
        </w:rPr>
        <w:t xml:space="preserve"> </w:t>
      </w:r>
      <w:r w:rsidR="00E26443" w:rsidRPr="00450359">
        <w:rPr>
          <w:i/>
          <w:iCs/>
          <w:sz w:val="16"/>
          <w:szCs w:val="16"/>
        </w:rPr>
        <w:t>ACS Catalysis</w:t>
      </w:r>
      <w:r w:rsidR="00E26443" w:rsidRPr="00450359">
        <w:rPr>
          <w:sz w:val="16"/>
          <w:szCs w:val="16"/>
        </w:rPr>
        <w:t> </w:t>
      </w:r>
      <w:r w:rsidR="00E26443" w:rsidRPr="00450359">
        <w:rPr>
          <w:b/>
          <w:bCs/>
          <w:sz w:val="16"/>
          <w:szCs w:val="16"/>
        </w:rPr>
        <w:t>2014</w:t>
      </w:r>
      <w:r w:rsidR="00E26443" w:rsidRPr="00450359">
        <w:rPr>
          <w:sz w:val="16"/>
          <w:szCs w:val="16"/>
        </w:rPr>
        <w:t>, </w:t>
      </w:r>
      <w:r w:rsidR="00E26443" w:rsidRPr="00450359">
        <w:rPr>
          <w:i/>
          <w:iCs/>
          <w:sz w:val="16"/>
          <w:szCs w:val="16"/>
        </w:rPr>
        <w:t>4</w:t>
      </w:r>
      <w:r w:rsidR="00E26443" w:rsidRPr="00450359">
        <w:rPr>
          <w:sz w:val="16"/>
          <w:szCs w:val="16"/>
        </w:rPr>
        <w:t>, 666.</w:t>
      </w:r>
    </w:p>
    <w:p w14:paraId="0B397228" w14:textId="77777777" w:rsidR="0078502F" w:rsidRDefault="000703A3" w:rsidP="007F295C">
      <w:pPr>
        <w:ind w:left="360" w:hanging="360"/>
        <w:jc w:val="both"/>
      </w:pPr>
      <w:r w:rsidRPr="00AD1901">
        <w:rPr>
          <w:sz w:val="16"/>
          <w:szCs w:val="16"/>
        </w:rPr>
        <w:t>2.</w:t>
      </w:r>
      <w:r w:rsidRPr="00AD1901">
        <w:rPr>
          <w:sz w:val="16"/>
          <w:szCs w:val="16"/>
        </w:rPr>
        <w:tab/>
      </w:r>
      <w:r w:rsidR="00450359" w:rsidRPr="00450359">
        <w:rPr>
          <w:sz w:val="16"/>
          <w:szCs w:val="16"/>
        </w:rPr>
        <w:t>Chansai, S.; Burch, R.; Hardacre, C.; Breen, J.; Meunier, F. </w:t>
      </w:r>
      <w:r w:rsidR="00450359" w:rsidRPr="00450359">
        <w:rPr>
          <w:i/>
          <w:iCs/>
          <w:sz w:val="16"/>
          <w:szCs w:val="16"/>
        </w:rPr>
        <w:t>J. Catal.</w:t>
      </w:r>
      <w:r w:rsidR="00450359" w:rsidRPr="00450359">
        <w:rPr>
          <w:sz w:val="16"/>
          <w:szCs w:val="16"/>
        </w:rPr>
        <w:t> </w:t>
      </w:r>
      <w:r w:rsidR="00450359" w:rsidRPr="00450359">
        <w:rPr>
          <w:b/>
          <w:bCs/>
          <w:sz w:val="16"/>
          <w:szCs w:val="16"/>
        </w:rPr>
        <w:t>2011</w:t>
      </w:r>
      <w:r w:rsidR="00450359" w:rsidRPr="00450359">
        <w:rPr>
          <w:sz w:val="16"/>
          <w:szCs w:val="16"/>
        </w:rPr>
        <w:t>, 281, 98</w:t>
      </w:r>
      <w:r w:rsidR="00CB66B7" w:rsidRPr="00AD1901">
        <w:rPr>
          <w:sz w:val="16"/>
          <w:szCs w:val="16"/>
        </w:rPr>
        <w:fldChar w:fldCharType="end"/>
      </w:r>
      <w:r w:rsidR="00450359">
        <w:rPr>
          <w:sz w:val="16"/>
          <w:szCs w:val="16"/>
        </w:rPr>
        <w:t>.</w:t>
      </w:r>
    </w:p>
    <w:sectPr w:rsidR="0078502F" w:rsidSect="00251C0E">
      <w:headerReference w:type="default" r:id="rId10"/>
      <w:pgSz w:w="15840" w:h="12240" w:orient="landscape"/>
      <w:pgMar w:top="1440" w:right="1440" w:bottom="1440" w:left="1440" w:header="720" w:footer="720" w:gutter="0"/>
      <w:cols w:num="2" w:space="720" w:equalWidth="0">
        <w:col w:w="6120" w:space="720"/>
        <w:col w:w="6120"/>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3B0D9" w14:textId="77777777" w:rsidR="00A16827" w:rsidRDefault="00A16827">
      <w:r>
        <w:separator/>
      </w:r>
    </w:p>
  </w:endnote>
  <w:endnote w:type="continuationSeparator" w:id="0">
    <w:p w14:paraId="2450676F" w14:textId="77777777" w:rsidR="00A16827" w:rsidRDefault="00A16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9D85A" w14:textId="77777777" w:rsidR="00A16827" w:rsidRDefault="00A16827">
      <w:r>
        <w:separator/>
      </w:r>
    </w:p>
  </w:footnote>
  <w:footnote w:type="continuationSeparator" w:id="0">
    <w:p w14:paraId="448AEF4C" w14:textId="77777777" w:rsidR="00A16827" w:rsidRDefault="00A16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151D6" w14:textId="6911D72E" w:rsidR="000477F7" w:rsidRPr="0077514E" w:rsidRDefault="00894DC5" w:rsidP="0077514E">
    <w:pPr>
      <w:pStyle w:val="Header"/>
      <w:jc w:val="center"/>
      <w:rPr>
        <w:b/>
        <w:bCs/>
        <w:color w:val="0070C0"/>
        <w:lang w:val="en-GB"/>
      </w:rPr>
    </w:pPr>
    <w:r w:rsidRPr="00AD2406">
      <w:rPr>
        <w:rFonts w:ascii="Arial" w:hAnsi="Arial" w:cs="Arial"/>
        <w:b/>
        <w:bCs/>
        <w:noProof/>
        <w:sz w:val="22"/>
        <w:szCs w:val="22"/>
      </w:rPr>
      <w:drawing>
        <wp:inline distT="0" distB="0" distL="0" distR="0" wp14:anchorId="6C78FA97" wp14:editId="0A80BA2A">
          <wp:extent cx="525600" cy="321015"/>
          <wp:effectExtent l="0" t="0" r="0" b="0"/>
          <wp:docPr id="929571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571396" name=""/>
                  <pic:cNvPicPr/>
                </pic:nvPicPr>
                <pic:blipFill>
                  <a:blip r:embed="rId1"/>
                  <a:stretch>
                    <a:fillRect/>
                  </a:stretch>
                </pic:blipFill>
                <pic:spPr>
                  <a:xfrm>
                    <a:off x="0" y="0"/>
                    <a:ext cx="525600" cy="321015"/>
                  </a:xfrm>
                  <a:prstGeom prst="rect">
                    <a:avLst/>
                  </a:prstGeom>
                </pic:spPr>
              </pic:pic>
            </a:graphicData>
          </a:graphic>
        </wp:inline>
      </w:drawing>
    </w:r>
    <w:r w:rsidR="000477F7">
      <w:rPr>
        <w:b/>
        <w:bCs/>
        <w:color w:val="0070C0"/>
        <w:lang w:val="en-GB"/>
      </w:rPr>
      <w:tab/>
    </w:r>
    <w:r w:rsidR="000477F7">
      <w:rPr>
        <w:b/>
        <w:bCs/>
        <w:color w:val="0070C0"/>
        <w:lang w:val="en-GB"/>
      </w:rPr>
      <w:tab/>
    </w:r>
    <w:r w:rsidR="000477F7" w:rsidRPr="000477F7">
      <w:rPr>
        <w:b/>
        <w:bCs/>
        <w:color w:val="0070C0"/>
        <w:sz w:val="24"/>
        <w:szCs w:val="24"/>
        <w:lang w:val="en-GB"/>
      </w:rPr>
      <w:t xml:space="preserve">                                             </w:t>
    </w:r>
    <w:r w:rsidR="000477F7">
      <w:rPr>
        <w:b/>
        <w:bCs/>
        <w:color w:val="0070C0"/>
        <w:sz w:val="24"/>
        <w:szCs w:val="24"/>
        <w:lang w:val="en-GB"/>
      </w:rPr>
      <w:t xml:space="preserve">  </w:t>
    </w:r>
    <w:r w:rsidR="000477F7" w:rsidRPr="000477F7">
      <w:rPr>
        <w:b/>
        <w:bCs/>
        <w:color w:val="0070C0"/>
        <w:sz w:val="24"/>
        <w:szCs w:val="24"/>
        <w:lang w:val="en-GB"/>
      </w:rPr>
      <w:t xml:space="preserve">         </w:t>
    </w:r>
    <w:r w:rsidR="000477F7">
      <w:rPr>
        <w:b/>
        <w:bCs/>
        <w:color w:val="0070C0"/>
        <w:sz w:val="24"/>
        <w:szCs w:val="24"/>
        <w:lang w:val="en-GB"/>
      </w:rPr>
      <w:t xml:space="preserve">            </w:t>
    </w:r>
    <w:r w:rsidR="00DC7D90">
      <w:rPr>
        <w:b/>
        <w:bCs/>
        <w:color w:val="0070C0"/>
        <w:sz w:val="24"/>
        <w:szCs w:val="24"/>
        <w:lang w:val="en-GB"/>
      </w:rPr>
      <w:t xml:space="preserve">  </w:t>
    </w:r>
    <w:r w:rsidR="00043A19">
      <w:rPr>
        <w:b/>
        <w:bCs/>
        <w:color w:val="0070C0"/>
        <w:lang w:val="en-GB"/>
      </w:rPr>
      <w:t>1</w:t>
    </w:r>
    <w:r>
      <w:rPr>
        <w:b/>
        <w:bCs/>
        <w:color w:val="0070C0"/>
        <w:lang w:val="en-GB"/>
      </w:rPr>
      <w:t>2</w:t>
    </w:r>
    <w:r w:rsidR="000477F7" w:rsidRPr="000477F7">
      <w:rPr>
        <w:b/>
        <w:bCs/>
        <w:color w:val="0070C0"/>
        <w:vertAlign w:val="superscript"/>
        <w:lang w:val="en-GB"/>
      </w:rPr>
      <w:t xml:space="preserve">th </w:t>
    </w:r>
    <w:r w:rsidR="000477F7" w:rsidRPr="000477F7">
      <w:rPr>
        <w:b/>
        <w:bCs/>
        <w:color w:val="0070C0"/>
        <w:lang w:val="en-GB"/>
      </w:rPr>
      <w:t xml:space="preserve">UK Catalysis Conference, </w:t>
    </w:r>
    <w:r w:rsidR="002974CB">
      <w:rPr>
        <w:b/>
        <w:bCs/>
        <w:color w:val="0070C0"/>
        <w:lang w:val="en-GB"/>
      </w:rPr>
      <w:t>0</w:t>
    </w:r>
    <w:r>
      <w:rPr>
        <w:b/>
        <w:bCs/>
        <w:color w:val="0070C0"/>
        <w:lang w:val="en-GB"/>
      </w:rPr>
      <w:t>7</w:t>
    </w:r>
    <w:r w:rsidR="000477F7" w:rsidRPr="000477F7">
      <w:rPr>
        <w:b/>
        <w:bCs/>
        <w:color w:val="0070C0"/>
        <w:lang w:val="en-GB"/>
      </w:rPr>
      <w:t>-</w:t>
    </w:r>
    <w:r w:rsidR="002974CB">
      <w:rPr>
        <w:b/>
        <w:bCs/>
        <w:color w:val="0070C0"/>
        <w:lang w:val="en-GB"/>
      </w:rPr>
      <w:t>0</w:t>
    </w:r>
    <w:r>
      <w:rPr>
        <w:b/>
        <w:bCs/>
        <w:color w:val="0070C0"/>
        <w:lang w:val="en-GB"/>
      </w:rPr>
      <w:t>9</w:t>
    </w:r>
    <w:r w:rsidR="000477F7" w:rsidRPr="000477F7">
      <w:rPr>
        <w:b/>
        <w:bCs/>
        <w:color w:val="0070C0"/>
        <w:vertAlign w:val="superscript"/>
        <w:lang w:val="en-GB"/>
      </w:rPr>
      <w:t>th</w:t>
    </w:r>
    <w:r w:rsidR="000477F7" w:rsidRPr="000477F7">
      <w:rPr>
        <w:b/>
        <w:bCs/>
        <w:color w:val="0070C0"/>
        <w:lang w:val="en-GB"/>
      </w:rPr>
      <w:t xml:space="preserve"> January 202</w:t>
    </w:r>
    <w:r>
      <w:rPr>
        <w:b/>
        <w:bCs/>
        <w:color w:val="0070C0"/>
        <w:lang w:val="en-G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11A35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9EE5B3D"/>
    <w:multiLevelType w:val="singleLevel"/>
    <w:tmpl w:val="0409000F"/>
    <w:lvl w:ilvl="0">
      <w:start w:val="1"/>
      <w:numFmt w:val="decimal"/>
      <w:lvlText w:val="%1."/>
      <w:lvlJc w:val="left"/>
      <w:pPr>
        <w:tabs>
          <w:tab w:val="num" w:pos="360"/>
        </w:tabs>
        <w:ind w:left="360" w:hanging="360"/>
      </w:pPr>
      <w:rPr>
        <w:rFonts w:hint="default"/>
      </w:rPr>
    </w:lvl>
  </w:abstractNum>
  <w:num w:numId="1" w16cid:durableId="277110112">
    <w:abstractNumId w:val="1"/>
  </w:num>
  <w:num w:numId="2" w16cid:durableId="1177695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Introduction.enl&lt;/item&gt;&lt;item&gt;experimental section.enl&lt;/item&gt;&lt;/Libraries&gt;&lt;/ENLibraries&gt;"/>
  </w:docVars>
  <w:rsids>
    <w:rsidRoot w:val="0078502F"/>
    <w:rsid w:val="00043A19"/>
    <w:rsid w:val="000477F7"/>
    <w:rsid w:val="000703A3"/>
    <w:rsid w:val="00094C09"/>
    <w:rsid w:val="000C3673"/>
    <w:rsid w:val="000D12E9"/>
    <w:rsid w:val="000E23F5"/>
    <w:rsid w:val="00107407"/>
    <w:rsid w:val="001204D3"/>
    <w:rsid w:val="00126B44"/>
    <w:rsid w:val="00167567"/>
    <w:rsid w:val="0017296E"/>
    <w:rsid w:val="001A3962"/>
    <w:rsid w:val="001B73B3"/>
    <w:rsid w:val="001D7D73"/>
    <w:rsid w:val="002020F5"/>
    <w:rsid w:val="00206A21"/>
    <w:rsid w:val="002136A5"/>
    <w:rsid w:val="00251C0E"/>
    <w:rsid w:val="002540F5"/>
    <w:rsid w:val="002974CB"/>
    <w:rsid w:val="002B569F"/>
    <w:rsid w:val="002F49F3"/>
    <w:rsid w:val="00330A2B"/>
    <w:rsid w:val="00336D6D"/>
    <w:rsid w:val="0034682E"/>
    <w:rsid w:val="0035663C"/>
    <w:rsid w:val="00362F24"/>
    <w:rsid w:val="003641AF"/>
    <w:rsid w:val="00382904"/>
    <w:rsid w:val="00384DBD"/>
    <w:rsid w:val="003918FC"/>
    <w:rsid w:val="003947DF"/>
    <w:rsid w:val="003B36A7"/>
    <w:rsid w:val="003D3F33"/>
    <w:rsid w:val="003D688F"/>
    <w:rsid w:val="003F6D48"/>
    <w:rsid w:val="00403474"/>
    <w:rsid w:val="00410F43"/>
    <w:rsid w:val="00424A1B"/>
    <w:rsid w:val="0042592A"/>
    <w:rsid w:val="004372A8"/>
    <w:rsid w:val="00450359"/>
    <w:rsid w:val="00457EF9"/>
    <w:rsid w:val="004A398A"/>
    <w:rsid w:val="004F741F"/>
    <w:rsid w:val="00547F63"/>
    <w:rsid w:val="00566F06"/>
    <w:rsid w:val="00585087"/>
    <w:rsid w:val="005A7A0E"/>
    <w:rsid w:val="005E6004"/>
    <w:rsid w:val="005E6468"/>
    <w:rsid w:val="005E77FD"/>
    <w:rsid w:val="005F6D5E"/>
    <w:rsid w:val="00611B97"/>
    <w:rsid w:val="00642B18"/>
    <w:rsid w:val="0066598A"/>
    <w:rsid w:val="00684BD6"/>
    <w:rsid w:val="006D56CC"/>
    <w:rsid w:val="006E5D54"/>
    <w:rsid w:val="006F5234"/>
    <w:rsid w:val="0070511A"/>
    <w:rsid w:val="00706D8C"/>
    <w:rsid w:val="00715737"/>
    <w:rsid w:val="00733423"/>
    <w:rsid w:val="00747B05"/>
    <w:rsid w:val="00765FFD"/>
    <w:rsid w:val="00767B2C"/>
    <w:rsid w:val="0077514E"/>
    <w:rsid w:val="0078502F"/>
    <w:rsid w:val="007D18BF"/>
    <w:rsid w:val="007F295C"/>
    <w:rsid w:val="0082581F"/>
    <w:rsid w:val="00890ADA"/>
    <w:rsid w:val="00894DC5"/>
    <w:rsid w:val="008960E9"/>
    <w:rsid w:val="008A7815"/>
    <w:rsid w:val="008C074D"/>
    <w:rsid w:val="008E0595"/>
    <w:rsid w:val="00901F42"/>
    <w:rsid w:val="00902724"/>
    <w:rsid w:val="00951F31"/>
    <w:rsid w:val="009647D7"/>
    <w:rsid w:val="00975BE7"/>
    <w:rsid w:val="009B347B"/>
    <w:rsid w:val="009C00F0"/>
    <w:rsid w:val="009C08AB"/>
    <w:rsid w:val="009E1D76"/>
    <w:rsid w:val="00A117FC"/>
    <w:rsid w:val="00A134C2"/>
    <w:rsid w:val="00A16827"/>
    <w:rsid w:val="00A323EB"/>
    <w:rsid w:val="00A4629E"/>
    <w:rsid w:val="00A46A7B"/>
    <w:rsid w:val="00A52B42"/>
    <w:rsid w:val="00A62CA2"/>
    <w:rsid w:val="00A63620"/>
    <w:rsid w:val="00A6477A"/>
    <w:rsid w:val="00A652EA"/>
    <w:rsid w:val="00A91395"/>
    <w:rsid w:val="00A92B58"/>
    <w:rsid w:val="00A97FED"/>
    <w:rsid w:val="00AA00D0"/>
    <w:rsid w:val="00AC367F"/>
    <w:rsid w:val="00AD1901"/>
    <w:rsid w:val="00AE663E"/>
    <w:rsid w:val="00AF0BB3"/>
    <w:rsid w:val="00B03582"/>
    <w:rsid w:val="00B114C6"/>
    <w:rsid w:val="00B43476"/>
    <w:rsid w:val="00B4402F"/>
    <w:rsid w:val="00B512A8"/>
    <w:rsid w:val="00BB22A0"/>
    <w:rsid w:val="00C03F62"/>
    <w:rsid w:val="00C175E6"/>
    <w:rsid w:val="00C33008"/>
    <w:rsid w:val="00C869AA"/>
    <w:rsid w:val="00CA7EB7"/>
    <w:rsid w:val="00CB2E19"/>
    <w:rsid w:val="00CB66B7"/>
    <w:rsid w:val="00CC1BBE"/>
    <w:rsid w:val="00CD3772"/>
    <w:rsid w:val="00CD4A7D"/>
    <w:rsid w:val="00CE6EDA"/>
    <w:rsid w:val="00CF37D4"/>
    <w:rsid w:val="00D02DA4"/>
    <w:rsid w:val="00D04A8E"/>
    <w:rsid w:val="00D23207"/>
    <w:rsid w:val="00DA034D"/>
    <w:rsid w:val="00DC7361"/>
    <w:rsid w:val="00DC7D90"/>
    <w:rsid w:val="00DD4D49"/>
    <w:rsid w:val="00DF45DC"/>
    <w:rsid w:val="00E20B03"/>
    <w:rsid w:val="00E21938"/>
    <w:rsid w:val="00E26443"/>
    <w:rsid w:val="00E3087B"/>
    <w:rsid w:val="00E80C9C"/>
    <w:rsid w:val="00E84807"/>
    <w:rsid w:val="00EC0A6C"/>
    <w:rsid w:val="00EE418F"/>
    <w:rsid w:val="00F314E4"/>
    <w:rsid w:val="00F31BC0"/>
    <w:rsid w:val="00F4586C"/>
    <w:rsid w:val="00F67168"/>
    <w:rsid w:val="00F801D7"/>
    <w:rsid w:val="00FD3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EB3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8502F"/>
    <w:rPr>
      <w:lang w:val="en-US" w:eastAsia="en-US"/>
    </w:rPr>
  </w:style>
  <w:style w:type="paragraph" w:styleId="Heading1">
    <w:name w:val="heading 1"/>
    <w:basedOn w:val="Normal"/>
    <w:next w:val="Normal"/>
    <w:qFormat/>
    <w:rsid w:val="0078502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NACSAbstract">
    <w:name w:val="Title NACS Abstract"/>
    <w:basedOn w:val="Heading1"/>
    <w:rsid w:val="0078502F"/>
    <w:pPr>
      <w:spacing w:before="0" w:after="0"/>
      <w:jc w:val="center"/>
    </w:pPr>
    <w:rPr>
      <w:rFonts w:ascii="Times New Roman" w:hAnsi="Times New Roman" w:cs="Times New Roman"/>
      <w:bCs w:val="0"/>
      <w:kern w:val="0"/>
      <w:sz w:val="20"/>
      <w:szCs w:val="20"/>
    </w:rPr>
  </w:style>
  <w:style w:type="paragraph" w:customStyle="1" w:styleId="AuthorsNACS">
    <w:name w:val="Authors NACS"/>
    <w:basedOn w:val="Normal"/>
    <w:rsid w:val="0078502F"/>
    <w:pPr>
      <w:jc w:val="center"/>
    </w:pPr>
    <w:rPr>
      <w:sz w:val="16"/>
    </w:rPr>
  </w:style>
  <w:style w:type="paragraph" w:customStyle="1" w:styleId="SectionHeadingNACS">
    <w:name w:val="Section Heading NACS"/>
    <w:basedOn w:val="Heading1"/>
    <w:rsid w:val="0078502F"/>
    <w:pPr>
      <w:spacing w:before="0" w:after="0"/>
    </w:pPr>
    <w:rPr>
      <w:rFonts w:ascii="Times New Roman" w:hAnsi="Times New Roman" w:cs="Times New Roman"/>
      <w:bCs w:val="0"/>
      <w:kern w:val="0"/>
      <w:sz w:val="16"/>
      <w:szCs w:val="20"/>
    </w:rPr>
  </w:style>
  <w:style w:type="paragraph" w:customStyle="1" w:styleId="BodyTextNACS">
    <w:name w:val="Body Text NACS"/>
    <w:basedOn w:val="BodyText"/>
    <w:rsid w:val="0078502F"/>
    <w:pPr>
      <w:spacing w:after="0"/>
      <w:jc w:val="both"/>
    </w:pPr>
    <w:rPr>
      <w:sz w:val="16"/>
    </w:rPr>
  </w:style>
  <w:style w:type="paragraph" w:customStyle="1" w:styleId="AuthorAddressNACS">
    <w:name w:val="Author Address NACS"/>
    <w:basedOn w:val="Normal"/>
    <w:rsid w:val="0078502F"/>
    <w:pPr>
      <w:jc w:val="center"/>
    </w:pPr>
    <w:rPr>
      <w:i/>
      <w:sz w:val="16"/>
    </w:rPr>
  </w:style>
  <w:style w:type="character" w:styleId="Hyperlink">
    <w:name w:val="Hyperlink"/>
    <w:rsid w:val="0078502F"/>
    <w:rPr>
      <w:color w:val="0000FF"/>
      <w:u w:val="single"/>
    </w:rPr>
  </w:style>
  <w:style w:type="paragraph" w:styleId="BodyText">
    <w:name w:val="Body Text"/>
    <w:basedOn w:val="Normal"/>
    <w:rsid w:val="0078502F"/>
    <w:pPr>
      <w:spacing w:after="120"/>
    </w:pPr>
  </w:style>
  <w:style w:type="paragraph" w:styleId="Header">
    <w:name w:val="header"/>
    <w:basedOn w:val="Normal"/>
    <w:rsid w:val="0078502F"/>
    <w:pPr>
      <w:tabs>
        <w:tab w:val="center" w:pos="4320"/>
        <w:tab w:val="right" w:pos="8640"/>
      </w:tabs>
    </w:pPr>
  </w:style>
  <w:style w:type="paragraph" w:styleId="Footer">
    <w:name w:val="footer"/>
    <w:basedOn w:val="Normal"/>
    <w:rsid w:val="0078502F"/>
    <w:pPr>
      <w:tabs>
        <w:tab w:val="center" w:pos="4320"/>
        <w:tab w:val="right" w:pos="8640"/>
      </w:tabs>
    </w:pPr>
  </w:style>
  <w:style w:type="paragraph" w:customStyle="1" w:styleId="PreprintTitle">
    <w:name w:val="Preprint Title"/>
    <w:basedOn w:val="Normal"/>
    <w:rsid w:val="00DF45DC"/>
    <w:pPr>
      <w:jc w:val="center"/>
    </w:pPr>
    <w:rPr>
      <w:b/>
      <w:lang w:eastAsia="en-GB"/>
    </w:rPr>
  </w:style>
  <w:style w:type="paragraph" w:styleId="BalloonText">
    <w:name w:val="Balloon Text"/>
    <w:basedOn w:val="Normal"/>
    <w:semiHidden/>
    <w:rsid w:val="001A3962"/>
    <w:rPr>
      <w:rFonts w:ascii="Tahoma" w:hAnsi="Tahoma" w:cs="Tahoma"/>
      <w:sz w:val="16"/>
      <w:szCs w:val="16"/>
    </w:rPr>
  </w:style>
  <w:style w:type="table" w:styleId="TableGrid">
    <w:name w:val="Table Grid"/>
    <w:basedOn w:val="TableNormal"/>
    <w:rsid w:val="008E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2592A"/>
    <w:rPr>
      <w:sz w:val="16"/>
      <w:szCs w:val="16"/>
    </w:rPr>
  </w:style>
  <w:style w:type="paragraph" w:styleId="CommentText">
    <w:name w:val="annotation text"/>
    <w:basedOn w:val="Normal"/>
    <w:link w:val="CommentTextChar"/>
    <w:rsid w:val="0042592A"/>
  </w:style>
  <w:style w:type="character" w:customStyle="1" w:styleId="CommentTextChar">
    <w:name w:val="Comment Text Char"/>
    <w:basedOn w:val="DefaultParagraphFont"/>
    <w:link w:val="CommentText"/>
    <w:rsid w:val="0042592A"/>
    <w:rPr>
      <w:lang w:val="en-US" w:eastAsia="en-US"/>
    </w:rPr>
  </w:style>
  <w:style w:type="paragraph" w:styleId="CommentSubject">
    <w:name w:val="annotation subject"/>
    <w:basedOn w:val="CommentText"/>
    <w:next w:val="CommentText"/>
    <w:link w:val="CommentSubjectChar"/>
    <w:rsid w:val="0042592A"/>
    <w:rPr>
      <w:b/>
      <w:bCs/>
    </w:rPr>
  </w:style>
  <w:style w:type="character" w:customStyle="1" w:styleId="CommentSubjectChar">
    <w:name w:val="Comment Subject Char"/>
    <w:basedOn w:val="CommentTextChar"/>
    <w:link w:val="CommentSubject"/>
    <w:rsid w:val="0042592A"/>
    <w:rPr>
      <w:b/>
      <w:bCs/>
      <w:lang w:val="en-US" w:eastAsia="en-US"/>
    </w:rPr>
  </w:style>
  <w:style w:type="paragraph" w:styleId="NormalWeb">
    <w:name w:val="Normal (Web)"/>
    <w:basedOn w:val="Normal"/>
    <w:uiPriority w:val="99"/>
    <w:semiHidden/>
    <w:unhideWhenUsed/>
    <w:rsid w:val="000477F7"/>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89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C8606-2283-7C47-A267-96A9C7F8C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Catalytic Partial Oxidation of n-Tetradecane on Rh and Sr Substituted Pyrochlore Catalysts</vt:lpstr>
    </vt:vector>
  </TitlesOfParts>
  <Company>U.S. Dept. Of Energy, NETL</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Catalytic Partial Oxidation of n-Tetradecane on Rh and Sr Substituted Pyrochlore Catalysts</dc:title>
  <dc:creator>NETLUser</dc:creator>
  <cp:lastModifiedBy>Haresh Manyar</cp:lastModifiedBy>
  <cp:revision>12</cp:revision>
  <cp:lastPrinted>2014-01-22T13:42:00Z</cp:lastPrinted>
  <dcterms:created xsi:type="dcterms:W3CDTF">2018-09-27T12:00:00Z</dcterms:created>
  <dcterms:modified xsi:type="dcterms:W3CDTF">2025-09-18T12:03:00Z</dcterms:modified>
</cp:coreProperties>
</file>